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9169"/>
      </w:tblGrid>
      <w:tr w:rsidR="00BD1367" w:rsidRPr="00747468">
        <w:trPr>
          <w:trHeight w:val="1418"/>
        </w:trPr>
        <w:tc>
          <w:tcPr>
            <w:tcW w:w="9169" w:type="dxa"/>
          </w:tcPr>
          <w:p w:rsidR="00BD1367" w:rsidRDefault="00BD1367" w:rsidP="00BC3020">
            <w:r>
              <w:t>Skattedirektoratet</w:t>
            </w:r>
          </w:p>
          <w:p w:rsidR="00BD1367" w:rsidRDefault="00BD1367" w:rsidP="00BC3020">
            <w:r>
              <w:t>postboks 9200 Grønland</w:t>
            </w:r>
          </w:p>
          <w:p w:rsidR="00BD1367" w:rsidRPr="00747468" w:rsidRDefault="00BD1367" w:rsidP="00BC3020">
            <w:r>
              <w:t>0134 Oslo</w:t>
            </w:r>
          </w:p>
        </w:tc>
      </w:tr>
    </w:tbl>
    <w:p w:rsidR="00BD1367" w:rsidRPr="0016723B" w:rsidRDefault="00BD1367" w:rsidP="00BC3020">
      <w:pPr>
        <w:pStyle w:val="Brevtekst"/>
        <w:spacing w:after="360"/>
        <w:rPr>
          <w:sz w:val="18"/>
          <w:szCs w:val="18"/>
        </w:rPr>
      </w:pPr>
      <w:r w:rsidRPr="0016723B">
        <w:rPr>
          <w:sz w:val="18"/>
          <w:szCs w:val="18"/>
        </w:rPr>
        <w:t xml:space="preserve">Også sendt pr. e-post: </w:t>
      </w:r>
      <w:hyperlink r:id="rId7" w:history="1">
        <w:r w:rsidRPr="0016723B">
          <w:rPr>
            <w:rStyle w:val="Hyperlink"/>
            <w:sz w:val="18"/>
            <w:szCs w:val="18"/>
          </w:rPr>
          <w:t>edag-regelverk@skatteetaten.no</w:t>
        </w:r>
      </w:hyperlink>
      <w:r w:rsidRPr="0016723B">
        <w:rPr>
          <w:sz w:val="18"/>
          <w:szCs w:val="18"/>
        </w:rPr>
        <w:t xml:space="preserve"> </w:t>
      </w:r>
    </w:p>
    <w:tbl>
      <w:tblPr>
        <w:tblW w:w="9180" w:type="dxa"/>
        <w:tblInd w:w="-106" w:type="dxa"/>
        <w:tblLayout w:type="fixed"/>
        <w:tblLook w:val="01E0"/>
      </w:tblPr>
      <w:tblGrid>
        <w:gridCol w:w="2365"/>
        <w:gridCol w:w="2365"/>
        <w:gridCol w:w="2891"/>
        <w:gridCol w:w="1559"/>
      </w:tblGrid>
      <w:tr w:rsidR="00BD1367" w:rsidRPr="00747468">
        <w:tc>
          <w:tcPr>
            <w:tcW w:w="2365" w:type="dxa"/>
            <w:tcMar>
              <w:right w:w="0" w:type="dxa"/>
            </w:tcMar>
          </w:tcPr>
          <w:p w:rsidR="00BD1367" w:rsidRDefault="00BD1367" w:rsidP="00411E94">
            <w:pPr>
              <w:pStyle w:val="Footer"/>
              <w:tabs>
                <w:tab w:val="right" w:pos="7938"/>
              </w:tabs>
              <w:spacing w:line="200" w:lineRule="exact"/>
            </w:pPr>
            <w:r w:rsidRPr="00747468">
              <w:t xml:space="preserve">Deres ref.: </w:t>
            </w:r>
          </w:p>
          <w:p w:rsidR="00BD1367" w:rsidRPr="00747468" w:rsidRDefault="00BD1367" w:rsidP="00411E94">
            <w:pPr>
              <w:pStyle w:val="Footer"/>
              <w:tabs>
                <w:tab w:val="right" w:pos="7938"/>
              </w:tabs>
              <w:spacing w:line="200" w:lineRule="exact"/>
            </w:pPr>
            <w:bookmarkStart w:id="0" w:name="bmYRef"/>
            <w:bookmarkEnd w:id="0"/>
            <w:r>
              <w:t>2013/173983</w:t>
            </w:r>
          </w:p>
        </w:tc>
        <w:tc>
          <w:tcPr>
            <w:tcW w:w="2365" w:type="dxa"/>
          </w:tcPr>
          <w:p w:rsidR="00BD1367" w:rsidRPr="00747468" w:rsidRDefault="00BD1367" w:rsidP="00BC3020">
            <w:pPr>
              <w:pStyle w:val="Footer"/>
              <w:tabs>
                <w:tab w:val="right" w:pos="7938"/>
              </w:tabs>
              <w:spacing w:line="200" w:lineRule="exact"/>
            </w:pPr>
            <w:r w:rsidRPr="00747468">
              <w:t>Dok</w:t>
            </w:r>
            <w:r>
              <w:t>.</w:t>
            </w:r>
            <w:r w:rsidRPr="00747468">
              <w:t xml:space="preserve"> nr.: </w:t>
            </w:r>
            <w:fldSimple w:instr=" DOCPROPERTY  DocRef  \* MERGEFORMAT ">
              <w:r>
                <w:t>156969</w:t>
              </w:r>
            </w:fldSimple>
          </w:p>
        </w:tc>
        <w:tc>
          <w:tcPr>
            <w:tcW w:w="2891" w:type="dxa"/>
          </w:tcPr>
          <w:p w:rsidR="00BD1367" w:rsidRPr="00747468" w:rsidRDefault="00BD1367" w:rsidP="00411E94">
            <w:pPr>
              <w:pStyle w:val="Footer"/>
              <w:tabs>
                <w:tab w:val="right" w:pos="7938"/>
              </w:tabs>
              <w:spacing w:line="200" w:lineRule="exact"/>
            </w:pPr>
            <w:r w:rsidRPr="00747468">
              <w:t xml:space="preserve">Saksbehandler: </w:t>
            </w:r>
            <w:r>
              <w:t>Trude Molvik</w:t>
            </w:r>
          </w:p>
          <w:p w:rsidR="00BD1367" w:rsidRPr="00747468" w:rsidRDefault="00BD1367" w:rsidP="00411E94">
            <w:pPr>
              <w:pStyle w:val="Footer"/>
              <w:tabs>
                <w:tab w:val="right" w:pos="7938"/>
              </w:tabs>
              <w:spacing w:line="200" w:lineRule="exact"/>
            </w:pPr>
            <w:r>
              <w:t>tm@advokatforeningen.no</w:t>
            </w:r>
          </w:p>
          <w:p w:rsidR="00BD1367" w:rsidRPr="00747468" w:rsidRDefault="00BD1367" w:rsidP="00411E94">
            <w:pPr>
              <w:pStyle w:val="Footer"/>
              <w:tabs>
                <w:tab w:val="right" w:pos="7938"/>
              </w:tabs>
              <w:spacing w:line="200" w:lineRule="exact"/>
            </w:pPr>
            <w:r>
              <w:t>T</w:t>
            </w:r>
            <w:r w:rsidRPr="00747468">
              <w:t xml:space="preserve"> </w:t>
            </w:r>
            <w:r>
              <w:t>+47 22 03 50 46</w:t>
            </w:r>
          </w:p>
        </w:tc>
        <w:tc>
          <w:tcPr>
            <w:tcW w:w="1559" w:type="dxa"/>
            <w:tcMar>
              <w:left w:w="170" w:type="dxa"/>
            </w:tcMar>
          </w:tcPr>
          <w:p w:rsidR="00BD1367" w:rsidRPr="0016723B" w:rsidRDefault="00BD1367" w:rsidP="00411E94">
            <w:pPr>
              <w:pStyle w:val="Footer"/>
              <w:tabs>
                <w:tab w:val="right" w:pos="7938"/>
              </w:tabs>
              <w:spacing w:line="200" w:lineRule="exact"/>
            </w:pPr>
            <w:fldSimple w:instr=" QUOTE &quot;28.05.2013&quot;  ">
              <w:r>
                <w:t>28.05.2013</w:t>
              </w:r>
            </w:fldSimple>
          </w:p>
        </w:tc>
      </w:tr>
    </w:tbl>
    <w:bookmarkStart w:id="1" w:name="bmCaseNo2"/>
    <w:bookmarkEnd w:id="1"/>
    <w:p w:rsidR="00BD1367" w:rsidRPr="00747468" w:rsidRDefault="00BD1367" w:rsidP="00BC3020">
      <w:pPr>
        <w:pStyle w:val="Heading1"/>
      </w:pPr>
      <w:r w:rsidRPr="00747468">
        <w:fldChar w:fldCharType="begin"/>
      </w:r>
      <w:r w:rsidRPr="00747468">
        <w:instrText xml:space="preserve"> DOCPROPERTY  DocTitle  \* MERGEFORMAT </w:instrText>
      </w:r>
      <w:r w:rsidRPr="00747468">
        <w:fldChar w:fldCharType="separate"/>
      </w:r>
      <w:r>
        <w:t>Høring — Forslag til lov- og forskriftsendringer som følge av a-opplysningsloven</w:t>
      </w:r>
      <w:r w:rsidRPr="00747468">
        <w:fldChar w:fldCharType="end"/>
      </w:r>
    </w:p>
    <w:p w:rsidR="00BD1367" w:rsidRDefault="00BD1367" w:rsidP="00BC3020"/>
    <w:p w:rsidR="00BD1367" w:rsidRPr="005547D0" w:rsidRDefault="00BD1367" w:rsidP="0016723B">
      <w:pPr>
        <w:widowControl/>
        <w:rPr>
          <w:b/>
          <w:bCs/>
          <w:color w:val="000000"/>
        </w:rPr>
      </w:pPr>
      <w:bookmarkStart w:id="2" w:name="OLE_LINK2"/>
      <w:bookmarkStart w:id="3" w:name="OLE_LINK3"/>
      <w:r w:rsidRPr="005547D0">
        <w:rPr>
          <w:b/>
          <w:bCs/>
          <w:color w:val="000000"/>
        </w:rPr>
        <w:t>1</w:t>
      </w:r>
      <w:r>
        <w:rPr>
          <w:b/>
          <w:bCs/>
          <w:color w:val="000000"/>
        </w:rPr>
        <w:t xml:space="preserve">. </w:t>
      </w:r>
      <w:r w:rsidRPr="005547D0">
        <w:rPr>
          <w:b/>
          <w:bCs/>
          <w:color w:val="000000"/>
        </w:rPr>
        <w:t xml:space="preserve"> Innledning</w:t>
      </w:r>
    </w:p>
    <w:p w:rsidR="00BD1367" w:rsidRDefault="00BD1367" w:rsidP="0016723B">
      <w:pPr>
        <w:widowControl/>
        <w:rPr>
          <w:color w:val="000000"/>
        </w:rPr>
      </w:pPr>
    </w:p>
    <w:p w:rsidR="00BD1367" w:rsidRPr="003963B9" w:rsidRDefault="00BD1367" w:rsidP="0016723B">
      <w:pPr>
        <w:widowControl/>
        <w:rPr>
          <w:color w:val="000000"/>
        </w:rPr>
      </w:pPr>
      <w:r w:rsidRPr="003963B9">
        <w:rPr>
          <w:color w:val="000000"/>
        </w:rPr>
        <w:t>Vi viser til depa</w:t>
      </w:r>
      <w:r>
        <w:rPr>
          <w:color w:val="000000"/>
        </w:rPr>
        <w:t xml:space="preserve">rtementets høringsbrev av4.3.2013 </w:t>
      </w:r>
      <w:r w:rsidRPr="003963B9">
        <w:rPr>
          <w:color w:val="000000"/>
        </w:rPr>
        <w:t>vedrørende</w:t>
      </w:r>
      <w:r>
        <w:rPr>
          <w:color w:val="000000"/>
        </w:rPr>
        <w:t xml:space="preserve"> ovennevnte høring</w:t>
      </w:r>
      <w:r w:rsidRPr="003963B9">
        <w:rPr>
          <w:color w:val="000000"/>
        </w:rPr>
        <w:t>.</w:t>
      </w:r>
    </w:p>
    <w:p w:rsidR="00BD1367" w:rsidRDefault="00BD1367" w:rsidP="0016723B">
      <w:pPr>
        <w:widowControl/>
        <w:ind w:firstLine="708"/>
        <w:rPr>
          <w:color w:val="000000"/>
          <w:lang w:eastAsia="nb-NO"/>
        </w:rPr>
      </w:pPr>
    </w:p>
    <w:p w:rsidR="00BD1367" w:rsidRPr="003963B9" w:rsidRDefault="00BD1367" w:rsidP="0016723B">
      <w:pPr>
        <w:widowControl/>
        <w:rPr>
          <w:color w:val="000000"/>
          <w:lang w:eastAsia="nb-NO"/>
        </w:rPr>
      </w:pPr>
      <w:r w:rsidRPr="003963B9">
        <w:rPr>
          <w:color w:val="000000"/>
          <w:lang w:eastAsia="nb-NO"/>
        </w:rPr>
        <w:t xml:space="preserve">Det er en prioritert oppgave for Advokatforeningen å drive rettspolitisk arbeid gjennom høringsuttalelser. Advokatforeningen har derfor en rekke lovutvalg inndelt etter fagområder. I våre lovutvalg sitter advokater med særskilte kunnskaper innenfor det aktuelle fagfelt og hvert lovutvalg består av advokater med ulik erfaringsbakgrunn og kompetanse innenfor fagområdet. Arbeidet i lovutvalgene er frivillig og ulønnet. </w:t>
      </w:r>
    </w:p>
    <w:p w:rsidR="00BD1367" w:rsidRPr="003963B9" w:rsidRDefault="00BD1367" w:rsidP="0016723B">
      <w:pPr>
        <w:widowControl/>
        <w:rPr>
          <w:color w:val="000000"/>
          <w:lang w:eastAsia="nb-NO"/>
        </w:rPr>
      </w:pPr>
    </w:p>
    <w:p w:rsidR="00BD1367" w:rsidRPr="003963B9" w:rsidRDefault="00BD1367" w:rsidP="0016723B">
      <w:pPr>
        <w:widowControl/>
        <w:rPr>
          <w:color w:val="000000"/>
          <w:lang w:eastAsia="nb-NO"/>
        </w:rPr>
      </w:pPr>
      <w:r w:rsidRPr="003963B9">
        <w:rPr>
          <w:color w:val="000000"/>
          <w:lang w:eastAsia="nb-NO"/>
        </w:rPr>
        <w:t xml:space="preserve">Advokatforeningen ser det som sin oppgave å være en uavhengig høringsinstans med fokus på rettssikkerhet og på kvaliteten av den foreslåtte lovgivningen. </w:t>
      </w:r>
    </w:p>
    <w:p w:rsidR="00BD1367" w:rsidRPr="003963B9" w:rsidRDefault="00BD1367" w:rsidP="0016723B">
      <w:pPr>
        <w:widowControl/>
        <w:rPr>
          <w:color w:val="000000"/>
          <w:lang w:eastAsia="nb-NO"/>
        </w:rPr>
      </w:pPr>
    </w:p>
    <w:p w:rsidR="00BD1367" w:rsidRPr="003963B9" w:rsidRDefault="00BD1367" w:rsidP="0016723B">
      <w:pPr>
        <w:widowControl/>
        <w:rPr>
          <w:color w:val="000000"/>
          <w:lang w:eastAsia="nb-NO"/>
        </w:rPr>
      </w:pPr>
      <w:r w:rsidRPr="003963B9">
        <w:rPr>
          <w:color w:val="000000"/>
          <w:lang w:eastAsia="nb-NO"/>
        </w:rPr>
        <w:t>I saker som angår advokaters rammevilkår vil imidlertid regelendringen også bli vurdert opp mot advokatbransjens interesser. Det vil i disse tilfellene bli opplyst at vi uttaler oss som en berørt bransjeorganisasjon og ikke som et uavhengig ekspertorgan. Årsaken til at vi sondrer mellom disse rollene er at vi ønsker å opprettholde og videreutvikle den troverdighet Advokatforeningen har som e</w:t>
      </w:r>
      <w:r>
        <w:rPr>
          <w:color w:val="000000"/>
          <w:lang w:eastAsia="nb-NO"/>
        </w:rPr>
        <w:t>t</w:t>
      </w:r>
      <w:r w:rsidRPr="003963B9">
        <w:rPr>
          <w:color w:val="000000"/>
          <w:lang w:eastAsia="nb-NO"/>
        </w:rPr>
        <w:t xml:space="preserve"> uavhengig og upolitisk ekspertorgan i lovgivningsprosessen.</w:t>
      </w:r>
    </w:p>
    <w:p w:rsidR="00BD1367" w:rsidRPr="003963B9" w:rsidRDefault="00BD1367" w:rsidP="0016723B">
      <w:pPr>
        <w:widowControl/>
        <w:rPr>
          <w:color w:val="000000"/>
          <w:lang w:eastAsia="nb-NO"/>
        </w:rPr>
      </w:pPr>
    </w:p>
    <w:p w:rsidR="00BD1367" w:rsidRPr="00BC3020" w:rsidRDefault="00BD1367" w:rsidP="0016723B">
      <w:pPr>
        <w:rPr>
          <w:lang w:eastAsia="nb-NO"/>
        </w:rPr>
      </w:pPr>
      <w:r w:rsidRPr="00BC3020">
        <w:rPr>
          <w:color w:val="000000"/>
          <w:lang w:eastAsia="nb-NO"/>
        </w:rPr>
        <w:t xml:space="preserve">I den foreliggende sak uttaler Advokatforeningen seg som ekspertorgan. Saken er forelagt lovutvalget for skatterett, lovutvalg for arbeidsrett, lovutvalg for velferdsrett og lovutvalg for IKT og personvern. Lovutvalgene består av </w:t>
      </w:r>
      <w:r w:rsidRPr="00BC3020">
        <w:rPr>
          <w:lang w:eastAsia="nb-NO"/>
        </w:rPr>
        <w:t>Bettina Banoun (leder for skatterett),</w:t>
      </w:r>
      <w:r w:rsidRPr="00BC3020">
        <w:t xml:space="preserve"> Finn Eide, Johan Kiær Engelschiøn, Thor Leegaard, Mons Alfred Paulsen, </w:t>
      </w:r>
      <w:r w:rsidRPr="00BC3020">
        <w:rPr>
          <w:lang w:eastAsia="nb-NO"/>
        </w:rPr>
        <w:t xml:space="preserve">Ingvild Vartdal, </w:t>
      </w:r>
      <w:r w:rsidRPr="00BC3020">
        <w:t xml:space="preserve">Jan Fougner (leder arbeidsrett), Jan L. Backer, </w:t>
      </w:r>
      <w:r w:rsidRPr="00BC3020">
        <w:rPr>
          <w:lang w:eastAsia="nb-NO"/>
        </w:rPr>
        <w:t xml:space="preserve">Thomas Benson, </w:t>
      </w:r>
      <w:r w:rsidRPr="00BC3020">
        <w:t xml:space="preserve">Alex Borch, </w:t>
      </w:r>
      <w:r w:rsidRPr="00BC3020">
        <w:rPr>
          <w:lang w:eastAsia="nb-NO"/>
        </w:rPr>
        <w:t>Margrethe Husebø, Terese Smith Ulseth,</w:t>
      </w:r>
      <w:r w:rsidRPr="00BC3020">
        <w:t xml:space="preserve"> Wenche Dahl Elde (leder velferdsrett), Helene Braanen, Knut Lindboe, </w:t>
      </w:r>
      <w:r w:rsidRPr="00BC3020">
        <w:rPr>
          <w:lang w:eastAsia="nb-NO"/>
        </w:rPr>
        <w:t xml:space="preserve">Endre S. Refsdal, Monica Solberg-Leinebø, </w:t>
      </w:r>
      <w:r w:rsidRPr="00BC3020">
        <w:t xml:space="preserve">Eva Ingrid Jarbekk(leder IKT og personvern), Mette Borchgrevink, Kjersti Jensen, Kirill Miazine, </w:t>
      </w:r>
      <w:r w:rsidRPr="00BC3020">
        <w:rPr>
          <w:lang w:eastAsia="nb-NO"/>
        </w:rPr>
        <w:t>Thomas Olsen og Kjell Steffner</w:t>
      </w:r>
      <w:r>
        <w:rPr>
          <w:lang w:eastAsia="nb-NO"/>
        </w:rPr>
        <w:t>.</w:t>
      </w:r>
    </w:p>
    <w:p w:rsidR="00BD1367" w:rsidRPr="003963B9" w:rsidRDefault="00BD1367" w:rsidP="0016723B">
      <w:pPr>
        <w:rPr>
          <w:color w:val="000000"/>
          <w:lang w:eastAsia="nb-NO"/>
        </w:rPr>
      </w:pPr>
    </w:p>
    <w:p w:rsidR="00BD1367" w:rsidRPr="00D72B43" w:rsidRDefault="00BD1367" w:rsidP="0016723B">
      <w:pPr>
        <w:widowControl/>
        <w:rPr>
          <w:lang w:eastAsia="nb-NO"/>
        </w:rPr>
      </w:pPr>
      <w:r w:rsidRPr="00D72B43">
        <w:rPr>
          <w:lang w:eastAsia="nb-NO"/>
        </w:rPr>
        <w:t>Advokatforeningen avgir følgende høringsuttalelse:</w:t>
      </w:r>
    </w:p>
    <w:bookmarkEnd w:id="2"/>
    <w:bookmarkEnd w:id="3"/>
    <w:p w:rsidR="00BD1367" w:rsidRDefault="00BD1367" w:rsidP="0016723B"/>
    <w:p w:rsidR="00BD1367" w:rsidRDefault="00BD1367" w:rsidP="004572D4">
      <w:pPr>
        <w:rPr>
          <w:b/>
          <w:bCs/>
        </w:rPr>
      </w:pPr>
    </w:p>
    <w:p w:rsidR="00BD1367" w:rsidRDefault="00BD1367" w:rsidP="004E4735">
      <w:pPr>
        <w:rPr>
          <w:b/>
          <w:bCs/>
        </w:rPr>
      </w:pPr>
      <w:r>
        <w:rPr>
          <w:b/>
          <w:bCs/>
        </w:rPr>
        <w:t>2. Advokatforeningens</w:t>
      </w:r>
      <w:r w:rsidRPr="004572D4">
        <w:rPr>
          <w:b/>
          <w:bCs/>
        </w:rPr>
        <w:t xml:space="preserve"> bemerkninger</w:t>
      </w:r>
    </w:p>
    <w:p w:rsidR="00BD1367" w:rsidRDefault="00BD1367" w:rsidP="004E4735">
      <w:pPr>
        <w:rPr>
          <w:b/>
          <w:bCs/>
        </w:rPr>
      </w:pPr>
    </w:p>
    <w:p w:rsidR="00BD1367" w:rsidRPr="00C176ED" w:rsidRDefault="00BD1367" w:rsidP="004E4735">
      <w:pPr>
        <w:rPr>
          <w:u w:val="single"/>
        </w:rPr>
      </w:pPr>
      <w:r>
        <w:rPr>
          <w:u w:val="single"/>
        </w:rPr>
        <w:t>2.1 Generelt</w:t>
      </w:r>
    </w:p>
    <w:p w:rsidR="00BD1367" w:rsidRDefault="00BD1367" w:rsidP="004E4735">
      <w:pPr>
        <w:rPr>
          <w:b/>
          <w:bCs/>
        </w:rPr>
      </w:pPr>
    </w:p>
    <w:p w:rsidR="00BD1367" w:rsidRPr="000063A6" w:rsidRDefault="00BD1367" w:rsidP="004E4735">
      <w:pPr>
        <w:rPr>
          <w:b/>
          <w:bCs/>
        </w:rPr>
      </w:pPr>
      <w:r>
        <w:t>A</w:t>
      </w:r>
      <w:r w:rsidRPr="004572D4">
        <w:t xml:space="preserve">dvokatforeningen er generelt positiv til forslaget </w:t>
      </w:r>
      <w:r>
        <w:t xml:space="preserve">om </w:t>
      </w:r>
      <w:r w:rsidRPr="004572D4">
        <w:rPr>
          <w:i/>
          <w:iCs/>
        </w:rPr>
        <w:t>forenklet gjennomføring</w:t>
      </w:r>
      <w:r w:rsidRPr="004572D4">
        <w:t xml:space="preserve"> av arbeidsgivers innrapportering av ansettelses- og inntektsforhold ved at man unngår dobbeltrapportering til flere etater. </w:t>
      </w:r>
    </w:p>
    <w:p w:rsidR="00BD1367" w:rsidRPr="004572D4" w:rsidRDefault="00BD1367" w:rsidP="004E4735"/>
    <w:p w:rsidR="00BD1367" w:rsidRDefault="00BD1367" w:rsidP="004E4735">
      <w:r w:rsidRPr="004572D4">
        <w:t>Advokatforeningen mener imidlertid at de sanksjoner (tvangsmulkt og overtredelsesgebyr) som er foreslått</w:t>
      </w:r>
      <w:r>
        <w:t>,</w:t>
      </w:r>
      <w:r w:rsidRPr="004572D4">
        <w:t xml:space="preserve"> ikke står i et rimelig forhold til hvordan arbeidsgivers plikter er foreslått regulert. </w:t>
      </w:r>
    </w:p>
    <w:p w:rsidR="00BD1367" w:rsidRPr="004572D4" w:rsidRDefault="00BD1367" w:rsidP="004E4735"/>
    <w:p w:rsidR="00BD1367" w:rsidRPr="004572D4" w:rsidRDefault="00BD1367" w:rsidP="004E4735">
      <w:pPr>
        <w:tabs>
          <w:tab w:val="num" w:pos="567"/>
        </w:tabs>
        <w:rPr>
          <w:u w:val="single"/>
        </w:rPr>
      </w:pPr>
      <w:r w:rsidRPr="004572D4">
        <w:rPr>
          <w:u w:val="single"/>
        </w:rPr>
        <w:t>2.</w:t>
      </w:r>
      <w:r>
        <w:rPr>
          <w:u w:val="single"/>
        </w:rPr>
        <w:t>2</w:t>
      </w:r>
      <w:r w:rsidRPr="004572D4">
        <w:rPr>
          <w:u w:val="single"/>
        </w:rPr>
        <w:t xml:space="preserve"> Gebyr og tvangsmulkt – folketrygdloven</w:t>
      </w:r>
    </w:p>
    <w:p w:rsidR="00BD1367" w:rsidRPr="004572D4" w:rsidRDefault="00BD1367" w:rsidP="004E4735">
      <w:pPr>
        <w:tabs>
          <w:tab w:val="num" w:pos="567"/>
        </w:tabs>
        <w:rPr>
          <w:b/>
          <w:bCs/>
        </w:rPr>
      </w:pPr>
    </w:p>
    <w:p w:rsidR="00BD1367" w:rsidRDefault="00BD1367" w:rsidP="004E4735">
      <w:r w:rsidRPr="004572D4">
        <w:t xml:space="preserve">Skattedirektoratet foreslår at arbeidsgiver plikter å sende melding til arbeidstakerregisteret om inntak av en arbeidstaker og om opphør av et arbeidsforhold innen fredag i uken etter, jf. endring av folketrygdloven § 25-1 annet ledd. </w:t>
      </w:r>
    </w:p>
    <w:p w:rsidR="00BD1367" w:rsidRPr="004572D4" w:rsidRDefault="00BD1367" w:rsidP="004E4735"/>
    <w:p w:rsidR="00BD1367" w:rsidRDefault="00BD1367" w:rsidP="004E4735">
      <w:r w:rsidRPr="004572D4">
        <w:t xml:space="preserve">Advokatforeningen mener at det ikke er nødvendig å sanksjonere de </w:t>
      </w:r>
      <w:r w:rsidRPr="004572D4">
        <w:rPr>
          <w:i/>
          <w:iCs/>
        </w:rPr>
        <w:t>innholdsmessige feil eller mangler</w:t>
      </w:r>
      <w:r w:rsidRPr="004572D4">
        <w:t xml:space="preserve"> i de opplysningene som leveres med </w:t>
      </w:r>
      <w:r w:rsidRPr="004572D4">
        <w:rPr>
          <w:i/>
          <w:iCs/>
        </w:rPr>
        <w:t>overtredelsesgebyr</w:t>
      </w:r>
      <w:r w:rsidRPr="004572D4">
        <w:t>, jf. forslagets § 25-3 annet ledd. Begrunnelsen er at feil lett vil kunne korrigeres og at eventuelle</w:t>
      </w:r>
      <w:r>
        <w:t xml:space="preserve"> mangler</w:t>
      </w:r>
      <w:r w:rsidRPr="004572D4">
        <w:t xml:space="preserve"> vil kunne bli korrigert første virkedag i måneden ved innlevering av opplysninger etter a-opplysningsloven, jf. forslag til a-opplysningsforskrift § 2-1. Overtredelsesgebyret står heller ikke i et rimelig forhold til pliktbruddet. Det er ikke forholdsmessighet mellom den opplysningspliktiges lovbrudd og følgen det får. Det er ukentlig leveringsplikt</w:t>
      </w:r>
      <w:r>
        <w:t>,</w:t>
      </w:r>
      <w:r w:rsidRPr="004572D4">
        <w:t xml:space="preserve"> og feil kan oppstå. Det vil særlige gjelde for virksomheter som har stor variasjon i arbeidsstokken og ved sesongarbeid. Det må være tilstrekkelig at dagens regel opprettholdes ved at gebyr kan ilegges når </w:t>
      </w:r>
      <w:r w:rsidRPr="004572D4">
        <w:rPr>
          <w:i/>
          <w:iCs/>
        </w:rPr>
        <w:t>melding ikke</w:t>
      </w:r>
      <w:r w:rsidRPr="004572D4">
        <w:t xml:space="preserve"> er gitt innen fristen. </w:t>
      </w:r>
    </w:p>
    <w:p w:rsidR="00BD1367" w:rsidRDefault="00BD1367" w:rsidP="004E4735"/>
    <w:p w:rsidR="00BD1367" w:rsidRDefault="00BD1367" w:rsidP="004E4735">
      <w:r w:rsidRPr="004572D4">
        <w:t>Advokatforeningen har derimot ingen innvendinger mot at arbeidsgiver som er gitt purring</w:t>
      </w:r>
      <w:r>
        <w:t>,</w:t>
      </w:r>
      <w:r w:rsidRPr="004572D4">
        <w:t xml:space="preserve"> ilegges tvangsmulkt for innholdsmessige feil eller mangler i opplysningene, jf. forslagets § 25-3 annet ledd. Begrunnelsen er at arbeidsgiver er gitt purring og ny frist til å innlevere korrekte og fullstendige opplysninger.</w:t>
      </w:r>
    </w:p>
    <w:p w:rsidR="00BD1367" w:rsidRPr="004572D4" w:rsidRDefault="00BD1367" w:rsidP="004E4735">
      <w:r w:rsidRPr="004572D4">
        <w:t xml:space="preserve"> </w:t>
      </w:r>
    </w:p>
    <w:p w:rsidR="00BD1367" w:rsidRDefault="00BD1367" w:rsidP="004E4735">
      <w:r w:rsidRPr="004572D4">
        <w:t>Skattedirektoratet foreslår at departementet gis adgang til bl.a. å gi forskrift om forholdet mellom gebyr og tvangsmulkt etter § 25-3 og a-opplysningsloven §§ 10 og 11, jf. forslagets § 25-3 sjette ledd. Begrunnelsen for forslaget er at brudd på opplysningspliktene ikke kan bli sanksjonert for samme forhold etter to ulike regelverk. Det kan således ikke ilegges gebyr eller tvangsmulkt etter folketrygdloven § 25-3 samtidig som det ilegges gebyr eller tvangsmulkt etter a-opplysningsloven §§ 10 og 11 for samme forhold i samme tidsrom.</w:t>
      </w:r>
    </w:p>
    <w:p w:rsidR="00BD1367" w:rsidRPr="004572D4" w:rsidRDefault="00BD1367" w:rsidP="004E4735"/>
    <w:p w:rsidR="00BD1367" w:rsidRPr="004572D4" w:rsidRDefault="00BD1367" w:rsidP="004E4735">
      <w:r w:rsidRPr="004572D4">
        <w:t xml:space="preserve">Advokatforeningen er enig i at brudd på opplysningspliktene ikke kan bli sanksjonert for samme forhold etter to ulike regelverk. Advokatforeningen mener imidlertid at denne bestemmelsen er så viktig at den bør inntas i loven og ikke kun forskriftsreguleres. </w:t>
      </w:r>
    </w:p>
    <w:p w:rsidR="00BD1367" w:rsidRPr="004572D4" w:rsidRDefault="00BD1367" w:rsidP="004E4735"/>
    <w:p w:rsidR="00BD1367" w:rsidRDefault="00BD1367" w:rsidP="004E4735">
      <w:pPr>
        <w:tabs>
          <w:tab w:val="num" w:pos="567"/>
        </w:tabs>
        <w:rPr>
          <w:u w:val="single"/>
        </w:rPr>
      </w:pPr>
    </w:p>
    <w:p w:rsidR="00BD1367" w:rsidRPr="004572D4" w:rsidRDefault="00BD1367" w:rsidP="004E4735">
      <w:pPr>
        <w:tabs>
          <w:tab w:val="num" w:pos="567"/>
        </w:tabs>
        <w:rPr>
          <w:u w:val="single"/>
        </w:rPr>
      </w:pPr>
      <w:r w:rsidRPr="004572D4">
        <w:rPr>
          <w:u w:val="single"/>
        </w:rPr>
        <w:t>2.</w:t>
      </w:r>
      <w:r>
        <w:rPr>
          <w:u w:val="single"/>
        </w:rPr>
        <w:t>3</w:t>
      </w:r>
      <w:r w:rsidRPr="004572D4">
        <w:rPr>
          <w:u w:val="single"/>
        </w:rPr>
        <w:t xml:space="preserve"> Gebyr og tvangsmulkt - a-opplysningsforskriften</w:t>
      </w:r>
    </w:p>
    <w:p w:rsidR="00BD1367" w:rsidRPr="004572D4" w:rsidRDefault="00BD1367" w:rsidP="004E4735">
      <w:pPr>
        <w:tabs>
          <w:tab w:val="num" w:pos="567"/>
        </w:tabs>
        <w:rPr>
          <w:b/>
          <w:bCs/>
        </w:rPr>
      </w:pPr>
    </w:p>
    <w:p w:rsidR="00BD1367" w:rsidRDefault="00BD1367" w:rsidP="004E4735">
      <w:r w:rsidRPr="004572D4">
        <w:t xml:space="preserve">Innlevering av opplysninger etter a-opplysningsloven skal leveres </w:t>
      </w:r>
      <w:r w:rsidRPr="004572D4">
        <w:rPr>
          <w:i/>
          <w:iCs/>
        </w:rPr>
        <w:t xml:space="preserve">senest første virkedag i måneden </w:t>
      </w:r>
      <w:r w:rsidRPr="004572D4">
        <w:t xml:space="preserve">etter utløpet av den kalendermåned opplysningene gjelder, jf. forslag til a-opplysningsforskrift § 2-1.  Advokatforeningen mener at det er et fornuftig forslag. Det skaper forutsigbarhet for arbeidsgiver og balanserer også hensynet til arbeidstakerne som er sykemeldt m.v.  </w:t>
      </w:r>
    </w:p>
    <w:p w:rsidR="00BD1367" w:rsidRPr="004572D4" w:rsidRDefault="00BD1367" w:rsidP="004E4735"/>
    <w:p w:rsidR="00BD1367" w:rsidRDefault="00BD1367" w:rsidP="004E4735">
      <w:r w:rsidRPr="004572D4">
        <w:t xml:space="preserve">Advokatforeningen er også enig med Skattedirektoratet at opplysningene som gis har stor verdi </w:t>
      </w:r>
      <w:r w:rsidRPr="004572D4">
        <w:rPr>
          <w:i/>
          <w:iCs/>
        </w:rPr>
        <w:t>for mange ulike aktører</w:t>
      </w:r>
      <w:r w:rsidRPr="004572D4">
        <w:t xml:space="preserve"> i samfunnet. Likeså at det er viktig at opplysningene innrapporteres </w:t>
      </w:r>
      <w:r w:rsidRPr="004572D4">
        <w:rPr>
          <w:i/>
          <w:iCs/>
        </w:rPr>
        <w:t>korrekt, fullstendig og rettidig</w:t>
      </w:r>
      <w:r w:rsidRPr="004572D4">
        <w:t xml:space="preserve">. </w:t>
      </w:r>
    </w:p>
    <w:p w:rsidR="00BD1367" w:rsidRPr="004572D4" w:rsidRDefault="00BD1367" w:rsidP="004E4735"/>
    <w:p w:rsidR="00BD1367" w:rsidRPr="004572D4" w:rsidRDefault="00BD1367" w:rsidP="004E4735">
      <w:r w:rsidRPr="004572D4">
        <w:t xml:space="preserve">I forslag til a-opplysningsforskrift del 4 og del 5 er det foreslått regler om tvangsmulkt og overtredelsesgebyr. </w:t>
      </w:r>
    </w:p>
    <w:p w:rsidR="00BD1367" w:rsidRPr="004572D4" w:rsidRDefault="00BD1367" w:rsidP="004E4735"/>
    <w:p w:rsidR="00BD1367" w:rsidRDefault="00BD1367" w:rsidP="004E4735">
      <w:r w:rsidRPr="004572D4">
        <w:t xml:space="preserve">Tvangsmulkt er foreslått ilagt når arbeidsgiver </w:t>
      </w:r>
      <w:r w:rsidRPr="004572D4">
        <w:rPr>
          <w:i/>
          <w:iCs/>
        </w:rPr>
        <w:t>ikke oppfyller sin forpliktelse</w:t>
      </w:r>
      <w:r>
        <w:t>. O</w:t>
      </w:r>
      <w:r w:rsidRPr="004572D4">
        <w:t>vertredelses</w:t>
      </w:r>
      <w:r>
        <w:t xml:space="preserve">- </w:t>
      </w:r>
      <w:r w:rsidRPr="004572D4">
        <w:t xml:space="preserve">gebyret er ment å ramme de tilfellene der arbeidsgiver leverer opplysninger, men </w:t>
      </w:r>
      <w:r w:rsidRPr="004572D4">
        <w:rPr>
          <w:i/>
          <w:iCs/>
        </w:rPr>
        <w:t>leveringen skjer for sent</w:t>
      </w:r>
      <w:r w:rsidRPr="004572D4">
        <w:t>.</w:t>
      </w:r>
    </w:p>
    <w:p w:rsidR="00BD1367" w:rsidRPr="004572D4" w:rsidRDefault="00BD1367" w:rsidP="004E4735"/>
    <w:p w:rsidR="00BD1367" w:rsidRPr="004572D4" w:rsidRDefault="00BD1367" w:rsidP="004E4735">
      <w:r w:rsidRPr="004572D4">
        <w:t xml:space="preserve">Advokatforeningen mener at det ikke er tilstrekkelig presisert i forslaget til forskrift. </w:t>
      </w:r>
    </w:p>
    <w:p w:rsidR="00BD1367" w:rsidRPr="004572D4" w:rsidRDefault="00BD1367" w:rsidP="004E4735">
      <w:r w:rsidRPr="004572D4">
        <w:t xml:space="preserve">Forskriftens § 4-1 1 bør ha følgende ordlyd: </w:t>
      </w:r>
      <w:r w:rsidRPr="004572D4">
        <w:rPr>
          <w:i/>
          <w:iCs/>
        </w:rPr>
        <w:t>«Tvangsmulkt kan ilegges den som ikke innrapporterer følgende opplysninger innen fristen i a-opplysningsforskriften § 2-1...»</w:t>
      </w:r>
    </w:p>
    <w:p w:rsidR="00BD1367" w:rsidRDefault="00BD1367" w:rsidP="004E4735">
      <w:pPr>
        <w:rPr>
          <w:i/>
          <w:iCs/>
        </w:rPr>
      </w:pPr>
      <w:r w:rsidRPr="004572D4">
        <w:t xml:space="preserve">Forskriftens § 5-1 1 bør ha følgende ordlyd: </w:t>
      </w:r>
      <w:r w:rsidRPr="004572D4">
        <w:rPr>
          <w:i/>
          <w:iCs/>
        </w:rPr>
        <w:t xml:space="preserve">«Overtredelsesgebyr kan ilegges den som ikke rettidig leverer en eller flere av følgende opplysninger innen fristen i a-opplysningsforskriften § 2-1… » </w:t>
      </w:r>
    </w:p>
    <w:p w:rsidR="00BD1367" w:rsidRPr="004572D4" w:rsidRDefault="00BD1367" w:rsidP="004E4735">
      <w:pPr>
        <w:rPr>
          <w:i/>
          <w:iCs/>
        </w:rPr>
      </w:pPr>
    </w:p>
    <w:p w:rsidR="00BD1367" w:rsidRDefault="00BD1367" w:rsidP="004E4735">
      <w:r w:rsidRPr="004572D4">
        <w:t xml:space="preserve">Advokatforeningen mener også at en standardisert sats for henholdsvis overtredelsesgebyr og tvangsmulkt er fornuftig. Det er imidlertid uklart for Advokatforeningen om overtredelsesgebyret skal være ½ eller ¼ av rettsgebyret per dag forsinkelsen har vart. Forslag til § 5-1 opererer med ¼ rettsgebyr, mens det under pkt. 3.6.1.4, side 2, argumenteres for ½ rettsgebyr.  </w:t>
      </w:r>
    </w:p>
    <w:p w:rsidR="00BD1367" w:rsidRPr="004572D4" w:rsidRDefault="00BD1367" w:rsidP="004E4735"/>
    <w:p w:rsidR="00BD1367" w:rsidRPr="004572D4" w:rsidRDefault="00BD1367" w:rsidP="004E4735">
      <w:r w:rsidRPr="004572D4">
        <w:t xml:space="preserve">Advokatforeningen mener uavhengig av sats at både tvangsmulkten og overtredelsesgebyret burde vært satt lavere. Gebyret/mulkten står ikke i et rimelig forhold til pliktbruddet. Advokatforeningen mener at det ikke er forholdsmessighet mellom den opplysningspliktiges lovbrudd og følgen det får.  Det antas at en lavere sats er tilstrekkelig til å sikre korrekt, fullstendig og rettidig levering av opplysningene.  </w:t>
      </w:r>
    </w:p>
    <w:p w:rsidR="00BD1367" w:rsidRDefault="00BD1367" w:rsidP="004E4735"/>
    <w:p w:rsidR="00BD1367" w:rsidRDefault="00BD1367" w:rsidP="004E4735"/>
    <w:p w:rsidR="00BD1367" w:rsidRPr="00FC7E7C" w:rsidRDefault="00BD1367" w:rsidP="0016723B">
      <w:pPr>
        <w:ind w:left="2124" w:firstLine="708"/>
      </w:pPr>
      <w:r>
        <w:t>V</w:t>
      </w:r>
      <w:r w:rsidRPr="00FC7E7C">
        <w:t>ennlig hilsen</w:t>
      </w:r>
    </w:p>
    <w:p w:rsidR="00BD1367" w:rsidRPr="00FC7E7C" w:rsidRDefault="00BD1367" w:rsidP="0016723B"/>
    <w:p w:rsidR="00BD1367" w:rsidRPr="00FC7E7C" w:rsidRDefault="00BD1367" w:rsidP="0016723B"/>
    <w:p w:rsidR="00BD1367" w:rsidRPr="00FC7E7C" w:rsidRDefault="00BD1367" w:rsidP="0016723B"/>
    <w:p w:rsidR="00BD1367" w:rsidRPr="004572D4" w:rsidRDefault="00BD1367" w:rsidP="00BC3020">
      <w:r w:rsidRPr="00FC7E7C">
        <w:t>Erik Keiserud</w:t>
      </w:r>
      <w:r w:rsidRPr="00FC7E7C">
        <w:tab/>
      </w:r>
      <w:r w:rsidRPr="00FC7E7C">
        <w:tab/>
      </w:r>
      <w:r w:rsidRPr="00FC7E7C">
        <w:tab/>
      </w:r>
      <w:r w:rsidRPr="00FC7E7C">
        <w:tab/>
      </w:r>
      <w:r w:rsidRPr="00FC7E7C">
        <w:tab/>
      </w:r>
      <w:r w:rsidRPr="00FC7E7C">
        <w:tab/>
      </w:r>
      <w:r w:rsidRPr="00FC7E7C">
        <w:tab/>
      </w:r>
      <w:r w:rsidRPr="00FC7E7C">
        <w:tab/>
        <w:t>Merete Smith</w:t>
      </w:r>
      <w:r w:rsidRPr="00FC7E7C">
        <w:br/>
        <w:t>leder</w:t>
      </w:r>
      <w:r w:rsidRPr="00FC7E7C">
        <w:tab/>
      </w:r>
      <w:r w:rsidRPr="00FC7E7C">
        <w:tab/>
      </w:r>
      <w:r w:rsidRPr="00FC7E7C">
        <w:tab/>
      </w:r>
      <w:r w:rsidRPr="00FC7E7C">
        <w:tab/>
      </w:r>
      <w:r w:rsidRPr="00FC7E7C">
        <w:tab/>
      </w:r>
      <w:r w:rsidRPr="00FC7E7C">
        <w:tab/>
      </w:r>
      <w:r w:rsidRPr="00FC7E7C">
        <w:tab/>
      </w:r>
      <w:r w:rsidRPr="00FC7E7C">
        <w:tab/>
      </w:r>
      <w:r w:rsidRPr="00FC7E7C">
        <w:tab/>
        <w:t>generalsekretæ</w:t>
      </w:r>
      <w:bookmarkStart w:id="4" w:name="bmText"/>
      <w:bookmarkStart w:id="5" w:name="_GoBack"/>
      <w:bookmarkEnd w:id="4"/>
      <w:bookmarkEnd w:id="5"/>
      <w:r>
        <w:t>r</w:t>
      </w:r>
    </w:p>
    <w:sectPr w:rsidR="00BD1367" w:rsidRPr="004572D4" w:rsidSect="00BC3020">
      <w:footerReference w:type="default" r:id="rId8"/>
      <w:headerReference w:type="first" r:id="rId9"/>
      <w:footerReference w:type="first" r:id="rId10"/>
      <w:type w:val="continuous"/>
      <w:pgSz w:w="11901" w:h="16840" w:code="9"/>
      <w:pgMar w:top="2211" w:right="1474" w:bottom="1985" w:left="1474" w:header="709" w:footer="709" w:gutter="0"/>
      <w:paperSrc w:first="3" w:other="1"/>
      <w:pgNumType w:start="1"/>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67" w:rsidRDefault="00BD1367">
      <w:r>
        <w:separator/>
      </w:r>
    </w:p>
  </w:endnote>
  <w:endnote w:type="continuationSeparator" w:id="0">
    <w:p w:rsidR="00BD1367" w:rsidRDefault="00BD1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4587"/>
      <w:gridCol w:w="4582"/>
    </w:tblGrid>
    <w:tr w:rsidR="00BD1367">
      <w:tc>
        <w:tcPr>
          <w:tcW w:w="4602" w:type="dxa"/>
        </w:tcPr>
        <w:p w:rsidR="00BD1367" w:rsidRDefault="00BD1367" w:rsidP="00BC3020">
          <w:pPr>
            <w:pStyle w:val="Footer"/>
          </w:pPr>
          <w:bookmarkStart w:id="6" w:name="bmFtPage2"/>
          <w:bookmarkEnd w:id="6"/>
          <w:r>
            <w:t>DEN NORSKE ADVOKATFORENING</w:t>
          </w:r>
        </w:p>
      </w:tc>
      <w:tc>
        <w:tcPr>
          <w:tcW w:w="4603" w:type="dxa"/>
        </w:tcPr>
        <w:p w:rsidR="00BD1367" w:rsidRDefault="00BD1367" w:rsidP="00BC3020">
          <w:pPr>
            <w:pStyle w:val="Footer"/>
            <w:jc w:val="right"/>
          </w:pPr>
          <w:fldSimple w:instr=" PAGE   \* MERGEFORMAT ">
            <w:r>
              <w:rPr>
                <w:noProof/>
              </w:rPr>
              <w:t>2</w:t>
            </w:r>
          </w:fldSimple>
        </w:p>
      </w:tc>
    </w:tr>
  </w:tbl>
  <w:p w:rsidR="00BD1367" w:rsidRPr="00DC0043" w:rsidRDefault="00BD1367" w:rsidP="00BC3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9169"/>
    </w:tblGrid>
    <w:tr w:rsidR="00BD1367">
      <w:tc>
        <w:tcPr>
          <w:tcW w:w="9205" w:type="dxa"/>
        </w:tcPr>
        <w:p w:rsidR="00BD1367" w:rsidRDefault="00BD1367" w:rsidP="00BC3020">
          <w:pPr>
            <w:pStyle w:val="Footer"/>
          </w:pPr>
          <w:bookmarkStart w:id="11" w:name="bmCompany"/>
          <w:bookmarkEnd w:id="11"/>
          <w:r>
            <w:t xml:space="preserve">DEN NORSKE ADVOKATFORENING </w:t>
          </w:r>
          <w:bookmarkStart w:id="12" w:name="bmVAddress"/>
          <w:bookmarkEnd w:id="12"/>
          <w:r>
            <w:t xml:space="preserve">Kristian Augusts gate 9 </w:t>
          </w:r>
          <w:bookmarkStart w:id="13" w:name="bmZipCity"/>
          <w:bookmarkEnd w:id="13"/>
          <w:r>
            <w:t xml:space="preserve">0164 Oslo </w:t>
          </w:r>
          <w:bookmarkStart w:id="14" w:name="bmCountry"/>
          <w:bookmarkEnd w:id="14"/>
        </w:p>
      </w:tc>
    </w:tr>
    <w:tr w:rsidR="00BD1367">
      <w:tc>
        <w:tcPr>
          <w:tcW w:w="9205" w:type="dxa"/>
        </w:tcPr>
        <w:p w:rsidR="00BD1367" w:rsidRDefault="00BD1367" w:rsidP="00BC3020">
          <w:pPr>
            <w:pStyle w:val="Footer"/>
          </w:pPr>
          <w:bookmarkStart w:id="15" w:name="bmPhone"/>
          <w:bookmarkEnd w:id="15"/>
          <w:r>
            <w:t xml:space="preserve">T +47 22 03 50 50 </w:t>
          </w:r>
          <w:bookmarkStart w:id="16" w:name="bmFax"/>
          <w:bookmarkEnd w:id="16"/>
          <w:r>
            <w:t xml:space="preserve"> </w:t>
          </w:r>
          <w:bookmarkStart w:id="17" w:name="bmEMail"/>
          <w:bookmarkEnd w:id="17"/>
          <w:r>
            <w:t xml:space="preserve">post@advokatforeningen.no </w:t>
          </w:r>
          <w:bookmarkStart w:id="18" w:name="bmWeb"/>
          <w:bookmarkEnd w:id="18"/>
          <w:r>
            <w:t>www.advokatforeningen.no</w:t>
          </w:r>
        </w:p>
      </w:tc>
    </w:tr>
    <w:tr w:rsidR="00BD1367">
      <w:tc>
        <w:tcPr>
          <w:tcW w:w="9205" w:type="dxa"/>
        </w:tcPr>
        <w:p w:rsidR="00BD1367" w:rsidRDefault="00BD1367" w:rsidP="00BC3020">
          <w:pPr>
            <w:pStyle w:val="Footer"/>
          </w:pPr>
          <w:bookmarkStart w:id="19" w:name="bmEntNo"/>
          <w:bookmarkEnd w:id="19"/>
          <w:r>
            <w:t>NO 936 575 668 MVA</w:t>
          </w:r>
        </w:p>
      </w:tc>
    </w:tr>
  </w:tbl>
  <w:p w:rsidR="00BD1367" w:rsidRDefault="00BD1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67" w:rsidRDefault="00BD1367">
      <w:r>
        <w:separator/>
      </w:r>
    </w:p>
  </w:footnote>
  <w:footnote w:type="continuationSeparator" w:id="0">
    <w:p w:rsidR="00BD1367" w:rsidRDefault="00BD1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06" w:type="dxa"/>
      <w:tblLook w:val="00A0"/>
    </w:tblPr>
    <w:tblGrid>
      <w:gridCol w:w="4847"/>
      <w:gridCol w:w="5359"/>
    </w:tblGrid>
    <w:tr w:rsidR="00BD1367">
      <w:trPr>
        <w:trHeight w:val="340"/>
      </w:trPr>
      <w:tc>
        <w:tcPr>
          <w:tcW w:w="4847" w:type="dxa"/>
          <w:vMerge w:val="restart"/>
        </w:tcPr>
        <w:p w:rsidR="00BD1367" w:rsidRDefault="00BD1367" w:rsidP="00EE2A8D">
          <w:pPr>
            <w:pStyle w:val="Header"/>
            <w:spacing w:line="240" w:lineRule="auto"/>
            <w:jc w:val="left"/>
          </w:pPr>
          <w:bookmarkStart w:id="7" w:name="bmLogo01"/>
          <w:r>
            <w:t xml:space="preserve"> </w:t>
          </w:r>
          <w:bookmarkEnd w:id="7"/>
        </w:p>
      </w:tc>
      <w:tc>
        <w:tcPr>
          <w:tcW w:w="5359" w:type="dxa"/>
        </w:tcPr>
        <w:p w:rsidR="00BD1367" w:rsidRDefault="00BD1367" w:rsidP="00EE2A8D">
          <w:pPr>
            <w:pStyle w:val="Header"/>
            <w:tabs>
              <w:tab w:val="clear" w:pos="4320"/>
            </w:tabs>
          </w:pPr>
        </w:p>
      </w:tc>
    </w:tr>
    <w:tr w:rsidR="00BD1367">
      <w:tc>
        <w:tcPr>
          <w:tcW w:w="4847" w:type="dxa"/>
          <w:vMerge/>
        </w:tcPr>
        <w:p w:rsidR="00BD1367" w:rsidRDefault="00BD1367" w:rsidP="00EE2A8D">
          <w:pPr>
            <w:pStyle w:val="Header"/>
            <w:spacing w:line="240" w:lineRule="auto"/>
            <w:jc w:val="left"/>
          </w:pPr>
        </w:p>
      </w:tc>
      <w:tc>
        <w:tcPr>
          <w:tcW w:w="5359" w:type="dxa"/>
          <w:tcMar>
            <w:right w:w="0" w:type="dxa"/>
          </w:tcMar>
        </w:tcPr>
        <w:p w:rsidR="00BD1367" w:rsidRDefault="00BD1367" w:rsidP="00BC3020">
          <w:pPr>
            <w:pStyle w:val="HeaderBold"/>
          </w:pPr>
          <w:bookmarkStart w:id="8" w:name="bmHdLine01"/>
          <w:bookmarkEnd w:id="8"/>
        </w:p>
        <w:p w:rsidR="00BD1367" w:rsidRDefault="00BD1367" w:rsidP="00BC3020">
          <w:pPr>
            <w:pStyle w:val="Header"/>
          </w:pPr>
          <w:bookmarkStart w:id="9" w:name="bmHdLine02"/>
          <w:bookmarkEnd w:id="9"/>
        </w:p>
        <w:p w:rsidR="00BD1367" w:rsidRDefault="00BD1367" w:rsidP="00BC3020">
          <w:pPr>
            <w:pStyle w:val="Header"/>
          </w:pPr>
          <w:bookmarkStart w:id="10" w:name="bmHdLine03"/>
          <w:bookmarkEnd w:id="10"/>
        </w:p>
      </w:tc>
    </w:tr>
  </w:tbl>
  <w:p w:rsidR="00BD1367" w:rsidRDefault="00BD1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EC25E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ED2C8FA"/>
    <w:lvl w:ilvl="0">
      <w:start w:val="1"/>
      <w:numFmt w:val="decimal"/>
      <w:lvlText w:val="%1."/>
      <w:lvlJc w:val="left"/>
      <w:pPr>
        <w:tabs>
          <w:tab w:val="num" w:pos="1800"/>
        </w:tabs>
        <w:ind w:left="1800" w:hanging="360"/>
      </w:pPr>
    </w:lvl>
  </w:abstractNum>
  <w:abstractNum w:abstractNumId="2">
    <w:nsid w:val="FFFFFF7D"/>
    <w:multiLevelType w:val="singleLevel"/>
    <w:tmpl w:val="F33A7C4E"/>
    <w:lvl w:ilvl="0">
      <w:start w:val="1"/>
      <w:numFmt w:val="decimal"/>
      <w:lvlText w:val="%1."/>
      <w:lvlJc w:val="left"/>
      <w:pPr>
        <w:tabs>
          <w:tab w:val="num" w:pos="1440"/>
        </w:tabs>
        <w:ind w:left="1440" w:hanging="360"/>
      </w:pPr>
    </w:lvl>
  </w:abstractNum>
  <w:abstractNum w:abstractNumId="3">
    <w:nsid w:val="FFFFFF7E"/>
    <w:multiLevelType w:val="singleLevel"/>
    <w:tmpl w:val="3EF81A3C"/>
    <w:lvl w:ilvl="0">
      <w:start w:val="1"/>
      <w:numFmt w:val="decimal"/>
      <w:lvlText w:val="%1."/>
      <w:lvlJc w:val="left"/>
      <w:pPr>
        <w:tabs>
          <w:tab w:val="num" w:pos="1080"/>
        </w:tabs>
        <w:ind w:left="1080" w:hanging="360"/>
      </w:pPr>
    </w:lvl>
  </w:abstractNum>
  <w:abstractNum w:abstractNumId="4">
    <w:nsid w:val="FFFFFF7F"/>
    <w:multiLevelType w:val="singleLevel"/>
    <w:tmpl w:val="A132A444"/>
    <w:lvl w:ilvl="0">
      <w:start w:val="1"/>
      <w:numFmt w:val="decimal"/>
      <w:lvlText w:val="%1."/>
      <w:lvlJc w:val="left"/>
      <w:pPr>
        <w:tabs>
          <w:tab w:val="num" w:pos="720"/>
        </w:tabs>
        <w:ind w:left="720" w:hanging="360"/>
      </w:pPr>
    </w:lvl>
  </w:abstractNum>
  <w:abstractNum w:abstractNumId="5">
    <w:nsid w:val="FFFFFF80"/>
    <w:multiLevelType w:val="singleLevel"/>
    <w:tmpl w:val="9A286C2E"/>
    <w:lvl w:ilvl="0">
      <w:start w:val="1"/>
      <w:numFmt w:val="bullet"/>
      <w:lvlText w:val=""/>
      <w:lvlJc w:val="left"/>
      <w:pPr>
        <w:tabs>
          <w:tab w:val="num" w:pos="1800"/>
        </w:tabs>
        <w:ind w:left="1800" w:hanging="360"/>
      </w:pPr>
      <w:rPr>
        <w:rFonts w:ascii="Symbol" w:hAnsi="Symbol" w:cs="Symbol" w:hint="default"/>
      </w:rPr>
    </w:lvl>
  </w:abstractNum>
  <w:abstractNum w:abstractNumId="6">
    <w:nsid w:val="FFFFFF81"/>
    <w:multiLevelType w:val="singleLevel"/>
    <w:tmpl w:val="B3A434BC"/>
    <w:lvl w:ilvl="0">
      <w:start w:val="1"/>
      <w:numFmt w:val="bullet"/>
      <w:lvlText w:val=""/>
      <w:lvlJc w:val="left"/>
      <w:pPr>
        <w:tabs>
          <w:tab w:val="num" w:pos="1440"/>
        </w:tabs>
        <w:ind w:left="1440" w:hanging="360"/>
      </w:pPr>
      <w:rPr>
        <w:rFonts w:ascii="Symbol" w:hAnsi="Symbol" w:cs="Symbol" w:hint="default"/>
      </w:rPr>
    </w:lvl>
  </w:abstractNum>
  <w:abstractNum w:abstractNumId="7">
    <w:nsid w:val="FFFFFF82"/>
    <w:multiLevelType w:val="singleLevel"/>
    <w:tmpl w:val="1ACA3C32"/>
    <w:lvl w:ilvl="0">
      <w:start w:val="1"/>
      <w:numFmt w:val="bullet"/>
      <w:lvlText w:val=""/>
      <w:lvlJc w:val="left"/>
      <w:pPr>
        <w:tabs>
          <w:tab w:val="num" w:pos="1080"/>
        </w:tabs>
        <w:ind w:left="1080" w:hanging="360"/>
      </w:pPr>
      <w:rPr>
        <w:rFonts w:ascii="Symbol" w:hAnsi="Symbol" w:cs="Symbol" w:hint="default"/>
      </w:rPr>
    </w:lvl>
  </w:abstractNum>
  <w:abstractNum w:abstractNumId="8">
    <w:nsid w:val="FFFFFF83"/>
    <w:multiLevelType w:val="singleLevel"/>
    <w:tmpl w:val="82D24038"/>
    <w:lvl w:ilvl="0">
      <w:start w:val="1"/>
      <w:numFmt w:val="bullet"/>
      <w:lvlText w:val=""/>
      <w:lvlJc w:val="left"/>
      <w:pPr>
        <w:tabs>
          <w:tab w:val="num" w:pos="720"/>
        </w:tabs>
        <w:ind w:left="720" w:hanging="360"/>
      </w:pPr>
      <w:rPr>
        <w:rFonts w:ascii="Symbol" w:hAnsi="Symbol" w:cs="Symbol" w:hint="default"/>
      </w:rPr>
    </w:lvl>
  </w:abstractNum>
  <w:abstractNum w:abstractNumId="9">
    <w:nsid w:val="FFFFFF88"/>
    <w:multiLevelType w:val="singleLevel"/>
    <w:tmpl w:val="B8D0A112"/>
    <w:lvl w:ilvl="0">
      <w:start w:val="1"/>
      <w:numFmt w:val="decimal"/>
      <w:lvlText w:val="%1."/>
      <w:lvlJc w:val="left"/>
      <w:pPr>
        <w:tabs>
          <w:tab w:val="num" w:pos="360"/>
        </w:tabs>
        <w:ind w:left="360" w:hanging="360"/>
      </w:pPr>
    </w:lvl>
  </w:abstractNum>
  <w:abstractNum w:abstractNumId="10">
    <w:nsid w:val="FFFFFF89"/>
    <w:multiLevelType w:val="singleLevel"/>
    <w:tmpl w:val="30A0EC7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defaultTabStop w:val="708"/>
  <w:hyphenationZone w:val="425"/>
  <w:doNotHyphenateCaps/>
  <w:drawingGridHorizontalSpacing w:val="105"/>
  <w:drawingGridVerticalSpacing w:val="14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08F"/>
    <w:rsid w:val="00001992"/>
    <w:rsid w:val="000063A6"/>
    <w:rsid w:val="000361A5"/>
    <w:rsid w:val="0004288C"/>
    <w:rsid w:val="000531BB"/>
    <w:rsid w:val="000623C8"/>
    <w:rsid w:val="0006633A"/>
    <w:rsid w:val="000742B6"/>
    <w:rsid w:val="00094251"/>
    <w:rsid w:val="00095F6E"/>
    <w:rsid w:val="000B7796"/>
    <w:rsid w:val="000D4CF4"/>
    <w:rsid w:val="000D678A"/>
    <w:rsid w:val="000E0E8B"/>
    <w:rsid w:val="000F4679"/>
    <w:rsid w:val="000F521B"/>
    <w:rsid w:val="000F7B89"/>
    <w:rsid w:val="00115301"/>
    <w:rsid w:val="00120420"/>
    <w:rsid w:val="0013793A"/>
    <w:rsid w:val="00150593"/>
    <w:rsid w:val="00152819"/>
    <w:rsid w:val="001609B8"/>
    <w:rsid w:val="0016665B"/>
    <w:rsid w:val="0016723B"/>
    <w:rsid w:val="0017146E"/>
    <w:rsid w:val="00191038"/>
    <w:rsid w:val="001924D7"/>
    <w:rsid w:val="001927D2"/>
    <w:rsid w:val="001B30B3"/>
    <w:rsid w:val="001C38CF"/>
    <w:rsid w:val="001D04C9"/>
    <w:rsid w:val="001E372E"/>
    <w:rsid w:val="001E75BC"/>
    <w:rsid w:val="001F2F89"/>
    <w:rsid w:val="00207928"/>
    <w:rsid w:val="0021331C"/>
    <w:rsid w:val="00245EAF"/>
    <w:rsid w:val="00256140"/>
    <w:rsid w:val="00270F8C"/>
    <w:rsid w:val="00276C9D"/>
    <w:rsid w:val="00291E6E"/>
    <w:rsid w:val="002979D9"/>
    <w:rsid w:val="002A6E92"/>
    <w:rsid w:val="002B2206"/>
    <w:rsid w:val="002B4328"/>
    <w:rsid w:val="002C3D51"/>
    <w:rsid w:val="002D0E32"/>
    <w:rsid w:val="002D211C"/>
    <w:rsid w:val="002F30D8"/>
    <w:rsid w:val="0033195A"/>
    <w:rsid w:val="00337C0D"/>
    <w:rsid w:val="00340D27"/>
    <w:rsid w:val="00342BAB"/>
    <w:rsid w:val="00342BB9"/>
    <w:rsid w:val="00344B91"/>
    <w:rsid w:val="00347233"/>
    <w:rsid w:val="003514C3"/>
    <w:rsid w:val="00352AB4"/>
    <w:rsid w:val="00365405"/>
    <w:rsid w:val="00372B4C"/>
    <w:rsid w:val="00385A1A"/>
    <w:rsid w:val="00392C8F"/>
    <w:rsid w:val="003963B9"/>
    <w:rsid w:val="003A6934"/>
    <w:rsid w:val="003B2B99"/>
    <w:rsid w:val="003B5007"/>
    <w:rsid w:val="003C0873"/>
    <w:rsid w:val="003C3D66"/>
    <w:rsid w:val="003D00BA"/>
    <w:rsid w:val="003D5A3B"/>
    <w:rsid w:val="003E33B4"/>
    <w:rsid w:val="003F2BDC"/>
    <w:rsid w:val="00400059"/>
    <w:rsid w:val="00411E94"/>
    <w:rsid w:val="00417178"/>
    <w:rsid w:val="0041775B"/>
    <w:rsid w:val="00422492"/>
    <w:rsid w:val="004255E6"/>
    <w:rsid w:val="00431AE9"/>
    <w:rsid w:val="004408FC"/>
    <w:rsid w:val="004464D2"/>
    <w:rsid w:val="00456190"/>
    <w:rsid w:val="004572D4"/>
    <w:rsid w:val="00482626"/>
    <w:rsid w:val="00492C71"/>
    <w:rsid w:val="004A1460"/>
    <w:rsid w:val="004A2EFB"/>
    <w:rsid w:val="004A3623"/>
    <w:rsid w:val="004B3BD1"/>
    <w:rsid w:val="004B7E74"/>
    <w:rsid w:val="004C1D96"/>
    <w:rsid w:val="004C1F38"/>
    <w:rsid w:val="004E4735"/>
    <w:rsid w:val="004F0BDE"/>
    <w:rsid w:val="004F791D"/>
    <w:rsid w:val="00500721"/>
    <w:rsid w:val="00504EEA"/>
    <w:rsid w:val="0050755A"/>
    <w:rsid w:val="00523E13"/>
    <w:rsid w:val="00535B12"/>
    <w:rsid w:val="005547D0"/>
    <w:rsid w:val="00556D17"/>
    <w:rsid w:val="00570C85"/>
    <w:rsid w:val="00572B59"/>
    <w:rsid w:val="00576DA8"/>
    <w:rsid w:val="00582085"/>
    <w:rsid w:val="0058523A"/>
    <w:rsid w:val="00595362"/>
    <w:rsid w:val="005A1EC7"/>
    <w:rsid w:val="005A3F7D"/>
    <w:rsid w:val="005A50BD"/>
    <w:rsid w:val="005B2A29"/>
    <w:rsid w:val="005D2B72"/>
    <w:rsid w:val="005F0535"/>
    <w:rsid w:val="005F1B82"/>
    <w:rsid w:val="00601FA3"/>
    <w:rsid w:val="0060735A"/>
    <w:rsid w:val="0061468B"/>
    <w:rsid w:val="00617D32"/>
    <w:rsid w:val="006211A2"/>
    <w:rsid w:val="006317BA"/>
    <w:rsid w:val="00633475"/>
    <w:rsid w:val="00652A7E"/>
    <w:rsid w:val="006745EB"/>
    <w:rsid w:val="006779E8"/>
    <w:rsid w:val="0068200F"/>
    <w:rsid w:val="0068641C"/>
    <w:rsid w:val="00694333"/>
    <w:rsid w:val="00694466"/>
    <w:rsid w:val="00696D8F"/>
    <w:rsid w:val="006A63E2"/>
    <w:rsid w:val="006E5D0E"/>
    <w:rsid w:val="00703757"/>
    <w:rsid w:val="00707C64"/>
    <w:rsid w:val="007155CC"/>
    <w:rsid w:val="0072204C"/>
    <w:rsid w:val="00726784"/>
    <w:rsid w:val="00727FBD"/>
    <w:rsid w:val="00742982"/>
    <w:rsid w:val="00747468"/>
    <w:rsid w:val="0074757D"/>
    <w:rsid w:val="0075172A"/>
    <w:rsid w:val="0075227B"/>
    <w:rsid w:val="00757B18"/>
    <w:rsid w:val="007605C6"/>
    <w:rsid w:val="00765989"/>
    <w:rsid w:val="00767EE6"/>
    <w:rsid w:val="0078387B"/>
    <w:rsid w:val="00786844"/>
    <w:rsid w:val="00791300"/>
    <w:rsid w:val="007A1001"/>
    <w:rsid w:val="007B2C5C"/>
    <w:rsid w:val="007B3B55"/>
    <w:rsid w:val="007C414D"/>
    <w:rsid w:val="007C7A7E"/>
    <w:rsid w:val="007D3D01"/>
    <w:rsid w:val="007D4207"/>
    <w:rsid w:val="007D7242"/>
    <w:rsid w:val="007E2054"/>
    <w:rsid w:val="007E261F"/>
    <w:rsid w:val="007F0A83"/>
    <w:rsid w:val="007F37E9"/>
    <w:rsid w:val="008079C8"/>
    <w:rsid w:val="00834165"/>
    <w:rsid w:val="0083770B"/>
    <w:rsid w:val="00840626"/>
    <w:rsid w:val="00840B4D"/>
    <w:rsid w:val="00851A7B"/>
    <w:rsid w:val="00865DE5"/>
    <w:rsid w:val="00873BEA"/>
    <w:rsid w:val="008753A9"/>
    <w:rsid w:val="008923A5"/>
    <w:rsid w:val="008A3241"/>
    <w:rsid w:val="008B4973"/>
    <w:rsid w:val="008B556A"/>
    <w:rsid w:val="008B633C"/>
    <w:rsid w:val="008D1483"/>
    <w:rsid w:val="008D63B6"/>
    <w:rsid w:val="008E1029"/>
    <w:rsid w:val="00912888"/>
    <w:rsid w:val="00935843"/>
    <w:rsid w:val="00943A8B"/>
    <w:rsid w:val="00943D73"/>
    <w:rsid w:val="009549B3"/>
    <w:rsid w:val="009755CA"/>
    <w:rsid w:val="00995B18"/>
    <w:rsid w:val="009A711A"/>
    <w:rsid w:val="009A73FC"/>
    <w:rsid w:val="009C59E9"/>
    <w:rsid w:val="009F3AF5"/>
    <w:rsid w:val="00A00883"/>
    <w:rsid w:val="00A072C4"/>
    <w:rsid w:val="00A15B30"/>
    <w:rsid w:val="00A15BF8"/>
    <w:rsid w:val="00A23F7B"/>
    <w:rsid w:val="00A27C75"/>
    <w:rsid w:val="00A31205"/>
    <w:rsid w:val="00A35D28"/>
    <w:rsid w:val="00A45319"/>
    <w:rsid w:val="00A51E89"/>
    <w:rsid w:val="00A63604"/>
    <w:rsid w:val="00A666E1"/>
    <w:rsid w:val="00A66CFB"/>
    <w:rsid w:val="00A771C0"/>
    <w:rsid w:val="00A827A4"/>
    <w:rsid w:val="00A87101"/>
    <w:rsid w:val="00A9513B"/>
    <w:rsid w:val="00A966C7"/>
    <w:rsid w:val="00AA6616"/>
    <w:rsid w:val="00AA68F0"/>
    <w:rsid w:val="00AC061F"/>
    <w:rsid w:val="00AC7A56"/>
    <w:rsid w:val="00AD7CA6"/>
    <w:rsid w:val="00B03829"/>
    <w:rsid w:val="00B36083"/>
    <w:rsid w:val="00B537CB"/>
    <w:rsid w:val="00B55868"/>
    <w:rsid w:val="00B57162"/>
    <w:rsid w:val="00B70481"/>
    <w:rsid w:val="00B755A8"/>
    <w:rsid w:val="00BA3EAD"/>
    <w:rsid w:val="00BA669E"/>
    <w:rsid w:val="00BB4F16"/>
    <w:rsid w:val="00BC3020"/>
    <w:rsid w:val="00BD1367"/>
    <w:rsid w:val="00BD61FF"/>
    <w:rsid w:val="00BE2993"/>
    <w:rsid w:val="00BE5948"/>
    <w:rsid w:val="00C16EEA"/>
    <w:rsid w:val="00C176ED"/>
    <w:rsid w:val="00C27773"/>
    <w:rsid w:val="00C323BE"/>
    <w:rsid w:val="00C4194D"/>
    <w:rsid w:val="00C4406A"/>
    <w:rsid w:val="00C519E8"/>
    <w:rsid w:val="00C56943"/>
    <w:rsid w:val="00C63218"/>
    <w:rsid w:val="00C67B34"/>
    <w:rsid w:val="00C72571"/>
    <w:rsid w:val="00C76EBD"/>
    <w:rsid w:val="00C77B6F"/>
    <w:rsid w:val="00C949EA"/>
    <w:rsid w:val="00C959A5"/>
    <w:rsid w:val="00CA1144"/>
    <w:rsid w:val="00CB772B"/>
    <w:rsid w:val="00CB7E3B"/>
    <w:rsid w:val="00CD6270"/>
    <w:rsid w:val="00CD6690"/>
    <w:rsid w:val="00CF2101"/>
    <w:rsid w:val="00CF3A1F"/>
    <w:rsid w:val="00CF5B1B"/>
    <w:rsid w:val="00D377F9"/>
    <w:rsid w:val="00D45698"/>
    <w:rsid w:val="00D511EB"/>
    <w:rsid w:val="00D530A3"/>
    <w:rsid w:val="00D54539"/>
    <w:rsid w:val="00D72B43"/>
    <w:rsid w:val="00D757C0"/>
    <w:rsid w:val="00D83C61"/>
    <w:rsid w:val="00DA4B9F"/>
    <w:rsid w:val="00DA55EE"/>
    <w:rsid w:val="00DB4474"/>
    <w:rsid w:val="00DB74BC"/>
    <w:rsid w:val="00DC0043"/>
    <w:rsid w:val="00DC2949"/>
    <w:rsid w:val="00DC7322"/>
    <w:rsid w:val="00DC7814"/>
    <w:rsid w:val="00DE142A"/>
    <w:rsid w:val="00DE5D24"/>
    <w:rsid w:val="00E005DB"/>
    <w:rsid w:val="00E01559"/>
    <w:rsid w:val="00E174FA"/>
    <w:rsid w:val="00E25282"/>
    <w:rsid w:val="00E2663E"/>
    <w:rsid w:val="00E320D3"/>
    <w:rsid w:val="00E3647D"/>
    <w:rsid w:val="00E4222C"/>
    <w:rsid w:val="00E45086"/>
    <w:rsid w:val="00E47E41"/>
    <w:rsid w:val="00E60FA4"/>
    <w:rsid w:val="00E77311"/>
    <w:rsid w:val="00E87B2C"/>
    <w:rsid w:val="00EA03F7"/>
    <w:rsid w:val="00EB194E"/>
    <w:rsid w:val="00EB2895"/>
    <w:rsid w:val="00ED2A8C"/>
    <w:rsid w:val="00ED319B"/>
    <w:rsid w:val="00ED7DE4"/>
    <w:rsid w:val="00EE1995"/>
    <w:rsid w:val="00EE2330"/>
    <w:rsid w:val="00EE2A8D"/>
    <w:rsid w:val="00EE4909"/>
    <w:rsid w:val="00F01220"/>
    <w:rsid w:val="00F01697"/>
    <w:rsid w:val="00F0392F"/>
    <w:rsid w:val="00F0798B"/>
    <w:rsid w:val="00F15639"/>
    <w:rsid w:val="00F357E8"/>
    <w:rsid w:val="00F51366"/>
    <w:rsid w:val="00F61555"/>
    <w:rsid w:val="00F636B6"/>
    <w:rsid w:val="00F63D19"/>
    <w:rsid w:val="00F656FF"/>
    <w:rsid w:val="00F658E4"/>
    <w:rsid w:val="00F77FB8"/>
    <w:rsid w:val="00F8794E"/>
    <w:rsid w:val="00F93EEE"/>
    <w:rsid w:val="00FB1A1F"/>
    <w:rsid w:val="00FB279F"/>
    <w:rsid w:val="00FC1B8D"/>
    <w:rsid w:val="00FC6605"/>
    <w:rsid w:val="00FC7E7C"/>
    <w:rsid w:val="00FE31E5"/>
    <w:rsid w:val="00FE5DEC"/>
    <w:rsid w:val="00FE753F"/>
    <w:rsid w:val="00FE784F"/>
    <w:rsid w:val="00FF2FE8"/>
    <w:rsid w:val="00FF508F"/>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F9"/>
    <w:pPr>
      <w:widowControl w:val="0"/>
      <w:spacing w:line="280" w:lineRule="exact"/>
    </w:pPr>
    <w:rPr>
      <w:rFonts w:ascii="Georgia" w:hAnsi="Georgia" w:cs="Georgia"/>
      <w:sz w:val="21"/>
      <w:szCs w:val="21"/>
      <w:lang w:eastAsia="en-US"/>
    </w:rPr>
  </w:style>
  <w:style w:type="paragraph" w:styleId="Heading1">
    <w:name w:val="heading 1"/>
    <w:basedOn w:val="Normal"/>
    <w:next w:val="Normal"/>
    <w:link w:val="Heading1Char"/>
    <w:uiPriority w:val="99"/>
    <w:qFormat/>
    <w:rsid w:val="00CF2101"/>
    <w:pPr>
      <w:keepNext/>
      <w:keepLines/>
      <w:spacing w:before="320"/>
      <w:outlineLvl w:val="0"/>
    </w:pPr>
    <w:rPr>
      <w:rFonts w:ascii="Arial" w:hAnsi="Arial" w:cs="Arial"/>
      <w:b/>
      <w:bCs/>
      <w:sz w:val="25"/>
      <w:szCs w:val="25"/>
    </w:rPr>
  </w:style>
  <w:style w:type="paragraph" w:styleId="Heading2">
    <w:name w:val="heading 2"/>
    <w:basedOn w:val="Normal"/>
    <w:next w:val="Normal"/>
    <w:link w:val="Heading2Char"/>
    <w:uiPriority w:val="99"/>
    <w:qFormat/>
    <w:rsid w:val="004572D4"/>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572D4"/>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101"/>
    <w:rPr>
      <w:rFonts w:ascii="Arial" w:hAnsi="Arial" w:cs="Arial"/>
      <w:b/>
      <w:bCs/>
      <w:sz w:val="28"/>
      <w:szCs w:val="28"/>
      <w:lang w:eastAsia="en-US"/>
    </w:rPr>
  </w:style>
  <w:style w:type="character" w:customStyle="1" w:styleId="Heading2Char">
    <w:name w:val="Heading 2 Char"/>
    <w:basedOn w:val="DefaultParagraphFont"/>
    <w:link w:val="Heading2"/>
    <w:uiPriority w:val="99"/>
    <w:semiHidden/>
    <w:locked/>
    <w:rsid w:val="004572D4"/>
    <w:rPr>
      <w:rFonts w:ascii="Cambria" w:hAnsi="Cambria" w:cs="Cambria"/>
      <w:b/>
      <w:bCs/>
      <w:color w:val="4F81BD"/>
      <w:sz w:val="26"/>
      <w:szCs w:val="26"/>
      <w:lang w:eastAsia="en-US"/>
    </w:rPr>
  </w:style>
  <w:style w:type="character" w:customStyle="1" w:styleId="Heading3Char">
    <w:name w:val="Heading 3 Char"/>
    <w:basedOn w:val="DefaultParagraphFont"/>
    <w:link w:val="Heading3"/>
    <w:uiPriority w:val="99"/>
    <w:semiHidden/>
    <w:locked/>
    <w:rsid w:val="004572D4"/>
    <w:rPr>
      <w:rFonts w:ascii="Cambria" w:hAnsi="Cambria" w:cs="Cambria"/>
      <w:b/>
      <w:bCs/>
      <w:color w:val="4F81BD"/>
      <w:sz w:val="21"/>
      <w:szCs w:val="21"/>
      <w:lang w:eastAsia="en-US"/>
    </w:rPr>
  </w:style>
  <w:style w:type="paragraph" w:styleId="Header">
    <w:name w:val="header"/>
    <w:basedOn w:val="Normal"/>
    <w:link w:val="HeaderChar"/>
    <w:uiPriority w:val="99"/>
    <w:rsid w:val="00D377F9"/>
    <w:pPr>
      <w:tabs>
        <w:tab w:val="center" w:pos="4320"/>
        <w:tab w:val="right" w:pos="8640"/>
      </w:tabs>
      <w:spacing w:line="220" w:lineRule="exact"/>
      <w:jc w:val="right"/>
    </w:pPr>
    <w:rPr>
      <w:rFonts w:ascii="Arial" w:hAnsi="Arial" w:cs="Arial"/>
      <w:spacing w:val="20"/>
      <w:sz w:val="16"/>
      <w:szCs w:val="16"/>
    </w:rPr>
  </w:style>
  <w:style w:type="character" w:customStyle="1" w:styleId="HeaderChar">
    <w:name w:val="Header Char"/>
    <w:basedOn w:val="DefaultParagraphFont"/>
    <w:link w:val="Header"/>
    <w:uiPriority w:val="99"/>
    <w:semiHidden/>
    <w:rsid w:val="00E06DB5"/>
    <w:rPr>
      <w:rFonts w:ascii="Georgia" w:hAnsi="Georgia" w:cs="Georgia"/>
      <w:sz w:val="21"/>
      <w:szCs w:val="21"/>
      <w:lang w:eastAsia="en-US"/>
    </w:rPr>
  </w:style>
  <w:style w:type="paragraph" w:styleId="Footer">
    <w:name w:val="footer"/>
    <w:basedOn w:val="Normal"/>
    <w:link w:val="FooterChar"/>
    <w:uiPriority w:val="99"/>
    <w:rsid w:val="00E320D3"/>
    <w:pPr>
      <w:tabs>
        <w:tab w:val="center" w:pos="4320"/>
        <w:tab w:val="right" w:pos="8640"/>
      </w:tabs>
      <w:spacing w:line="180" w:lineRule="exact"/>
    </w:pPr>
    <w:rPr>
      <w:rFonts w:ascii="Arial" w:hAnsi="Arial" w:cs="Arial"/>
      <w:color w:val="000000"/>
      <w:sz w:val="14"/>
      <w:szCs w:val="14"/>
    </w:rPr>
  </w:style>
  <w:style w:type="character" w:customStyle="1" w:styleId="FooterChar">
    <w:name w:val="Footer Char"/>
    <w:basedOn w:val="DefaultParagraphFont"/>
    <w:link w:val="Footer"/>
    <w:uiPriority w:val="99"/>
    <w:locked/>
    <w:rsid w:val="00E320D3"/>
    <w:rPr>
      <w:rFonts w:ascii="Arial" w:eastAsia="Times New Roman" w:hAnsi="Arial" w:cs="Arial"/>
      <w:color w:val="000000"/>
      <w:sz w:val="14"/>
      <w:szCs w:val="14"/>
      <w:lang w:eastAsia="en-US"/>
    </w:rPr>
  </w:style>
  <w:style w:type="character" w:styleId="PageNumber">
    <w:name w:val="page number"/>
    <w:basedOn w:val="DefaultParagraphFont"/>
    <w:uiPriority w:val="99"/>
    <w:rsid w:val="00FC6605"/>
    <w:rPr>
      <w:rFonts w:ascii="Arial" w:hAnsi="Arial" w:cs="Arial"/>
      <w:sz w:val="14"/>
      <w:szCs w:val="14"/>
    </w:rPr>
  </w:style>
  <w:style w:type="paragraph" w:customStyle="1" w:styleId="Brevtekst">
    <w:name w:val="Brevtekst"/>
    <w:basedOn w:val="Normal"/>
    <w:uiPriority w:val="99"/>
    <w:rsid w:val="00EE4909"/>
  </w:style>
  <w:style w:type="paragraph" w:customStyle="1" w:styleId="Reference">
    <w:name w:val="Reference"/>
    <w:basedOn w:val="Normal"/>
    <w:uiPriority w:val="99"/>
    <w:rsid w:val="00E320D3"/>
    <w:pPr>
      <w:tabs>
        <w:tab w:val="left" w:pos="1701"/>
        <w:tab w:val="left" w:pos="3402"/>
        <w:tab w:val="right" w:pos="9526"/>
      </w:tabs>
    </w:pPr>
    <w:rPr>
      <w:rFonts w:ascii="Arial" w:hAnsi="Arial" w:cs="Arial"/>
      <w:sz w:val="15"/>
      <w:szCs w:val="15"/>
    </w:rPr>
  </w:style>
  <w:style w:type="paragraph" w:styleId="BalloonText">
    <w:name w:val="Balloon Text"/>
    <w:basedOn w:val="Normal"/>
    <w:link w:val="BalloonTextChar"/>
    <w:uiPriority w:val="99"/>
    <w:semiHidden/>
    <w:rsid w:val="00BE5948"/>
    <w:rPr>
      <w:rFonts w:ascii="Tahoma" w:hAnsi="Tahoma" w:cs="Tahoma"/>
      <w:sz w:val="16"/>
      <w:szCs w:val="16"/>
    </w:rPr>
  </w:style>
  <w:style w:type="character" w:customStyle="1" w:styleId="BalloonTextChar">
    <w:name w:val="Balloon Text Char"/>
    <w:basedOn w:val="DefaultParagraphFont"/>
    <w:link w:val="BalloonText"/>
    <w:uiPriority w:val="99"/>
    <w:semiHidden/>
    <w:rsid w:val="00E06DB5"/>
    <w:rPr>
      <w:sz w:val="0"/>
      <w:szCs w:val="0"/>
      <w:lang w:eastAsia="en-US"/>
    </w:rPr>
  </w:style>
  <w:style w:type="paragraph" w:customStyle="1" w:styleId="Recipient">
    <w:name w:val="Recipient"/>
    <w:basedOn w:val="Normal"/>
    <w:uiPriority w:val="99"/>
    <w:rsid w:val="005F0535"/>
    <w:pPr>
      <w:spacing w:line="220" w:lineRule="exact"/>
    </w:pPr>
    <w:rPr>
      <w:color w:val="000000"/>
      <w:spacing w:val="20"/>
    </w:rPr>
  </w:style>
  <w:style w:type="character" w:styleId="Hyperlink">
    <w:name w:val="Hyperlink"/>
    <w:basedOn w:val="DefaultParagraphFont"/>
    <w:uiPriority w:val="99"/>
    <w:rsid w:val="004F0BDE"/>
    <w:rPr>
      <w:color w:val="0000FF"/>
      <w:u w:val="single"/>
    </w:rPr>
  </w:style>
  <w:style w:type="paragraph" w:customStyle="1" w:styleId="HeaderBold">
    <w:name w:val="Header Bold"/>
    <w:basedOn w:val="Header"/>
    <w:uiPriority w:val="99"/>
    <w:rsid w:val="00347233"/>
    <w:pPr>
      <w:spacing w:before="60"/>
    </w:pPr>
    <w:rPr>
      <w:b/>
      <w:bCs/>
    </w:rPr>
  </w:style>
  <w:style w:type="table" w:styleId="TableGrid">
    <w:name w:val="Table Grid"/>
    <w:basedOn w:val="TableNormal"/>
    <w:uiPriority w:val="99"/>
    <w:rsid w:val="0016723B"/>
    <w:rPr>
      <w:rFonts w:ascii="Georgia" w:hAnsi="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6723B"/>
    <w:pPr>
      <w:widowControl/>
      <w:tabs>
        <w:tab w:val="left" w:pos="851"/>
      </w:tabs>
      <w:spacing w:line="264" w:lineRule="auto"/>
      <w:ind w:left="720"/>
      <w:jc w:val="both"/>
    </w:pPr>
    <w:rPr>
      <w:rFonts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58617135">
      <w:marLeft w:val="0"/>
      <w:marRight w:val="0"/>
      <w:marTop w:val="0"/>
      <w:marBottom w:val="0"/>
      <w:divBdr>
        <w:top w:val="none" w:sz="0" w:space="0" w:color="auto"/>
        <w:left w:val="none" w:sz="0" w:space="0" w:color="auto"/>
        <w:bottom w:val="none" w:sz="0" w:space="0" w:color="auto"/>
        <w:right w:val="none" w:sz="0" w:space="0" w:color="auto"/>
      </w:divBdr>
      <w:divsChild>
        <w:div w:id="158617138">
          <w:marLeft w:val="0"/>
          <w:marRight w:val="0"/>
          <w:marTop w:val="0"/>
          <w:marBottom w:val="0"/>
          <w:divBdr>
            <w:top w:val="none" w:sz="0" w:space="0" w:color="auto"/>
            <w:left w:val="none" w:sz="0" w:space="0" w:color="auto"/>
            <w:bottom w:val="none" w:sz="0" w:space="0" w:color="auto"/>
            <w:right w:val="none" w:sz="0" w:space="0" w:color="auto"/>
          </w:divBdr>
        </w:div>
      </w:divsChild>
    </w:div>
    <w:div w:id="158617136">
      <w:marLeft w:val="0"/>
      <w:marRight w:val="0"/>
      <w:marTop w:val="0"/>
      <w:marBottom w:val="0"/>
      <w:divBdr>
        <w:top w:val="none" w:sz="0" w:space="0" w:color="auto"/>
        <w:left w:val="none" w:sz="0" w:space="0" w:color="auto"/>
        <w:bottom w:val="none" w:sz="0" w:space="0" w:color="auto"/>
        <w:right w:val="none" w:sz="0" w:space="0" w:color="auto"/>
      </w:divBdr>
      <w:divsChild>
        <w:div w:id="158617151">
          <w:marLeft w:val="0"/>
          <w:marRight w:val="0"/>
          <w:marTop w:val="0"/>
          <w:marBottom w:val="0"/>
          <w:divBdr>
            <w:top w:val="none" w:sz="0" w:space="0" w:color="auto"/>
            <w:left w:val="none" w:sz="0" w:space="0" w:color="auto"/>
            <w:bottom w:val="none" w:sz="0" w:space="0" w:color="auto"/>
            <w:right w:val="none" w:sz="0" w:space="0" w:color="auto"/>
          </w:divBdr>
        </w:div>
      </w:divsChild>
    </w:div>
    <w:div w:id="158617139">
      <w:marLeft w:val="0"/>
      <w:marRight w:val="0"/>
      <w:marTop w:val="0"/>
      <w:marBottom w:val="0"/>
      <w:divBdr>
        <w:top w:val="none" w:sz="0" w:space="0" w:color="auto"/>
        <w:left w:val="none" w:sz="0" w:space="0" w:color="auto"/>
        <w:bottom w:val="none" w:sz="0" w:space="0" w:color="auto"/>
        <w:right w:val="none" w:sz="0" w:space="0" w:color="auto"/>
      </w:divBdr>
      <w:divsChild>
        <w:div w:id="158617142">
          <w:marLeft w:val="0"/>
          <w:marRight w:val="0"/>
          <w:marTop w:val="0"/>
          <w:marBottom w:val="0"/>
          <w:divBdr>
            <w:top w:val="none" w:sz="0" w:space="0" w:color="auto"/>
            <w:left w:val="none" w:sz="0" w:space="0" w:color="auto"/>
            <w:bottom w:val="none" w:sz="0" w:space="0" w:color="auto"/>
            <w:right w:val="none" w:sz="0" w:space="0" w:color="auto"/>
          </w:divBdr>
        </w:div>
      </w:divsChild>
    </w:div>
    <w:div w:id="158617140">
      <w:marLeft w:val="0"/>
      <w:marRight w:val="0"/>
      <w:marTop w:val="0"/>
      <w:marBottom w:val="0"/>
      <w:divBdr>
        <w:top w:val="none" w:sz="0" w:space="0" w:color="auto"/>
        <w:left w:val="none" w:sz="0" w:space="0" w:color="auto"/>
        <w:bottom w:val="none" w:sz="0" w:space="0" w:color="auto"/>
        <w:right w:val="none" w:sz="0" w:space="0" w:color="auto"/>
      </w:divBdr>
      <w:divsChild>
        <w:div w:id="158617137">
          <w:marLeft w:val="0"/>
          <w:marRight w:val="0"/>
          <w:marTop w:val="0"/>
          <w:marBottom w:val="0"/>
          <w:divBdr>
            <w:top w:val="none" w:sz="0" w:space="0" w:color="auto"/>
            <w:left w:val="none" w:sz="0" w:space="0" w:color="auto"/>
            <w:bottom w:val="none" w:sz="0" w:space="0" w:color="auto"/>
            <w:right w:val="none" w:sz="0" w:space="0" w:color="auto"/>
          </w:divBdr>
        </w:div>
      </w:divsChild>
    </w:div>
    <w:div w:id="158617141">
      <w:marLeft w:val="0"/>
      <w:marRight w:val="0"/>
      <w:marTop w:val="0"/>
      <w:marBottom w:val="0"/>
      <w:divBdr>
        <w:top w:val="none" w:sz="0" w:space="0" w:color="auto"/>
        <w:left w:val="none" w:sz="0" w:space="0" w:color="auto"/>
        <w:bottom w:val="none" w:sz="0" w:space="0" w:color="auto"/>
        <w:right w:val="none" w:sz="0" w:space="0" w:color="auto"/>
      </w:divBdr>
      <w:divsChild>
        <w:div w:id="158617145">
          <w:marLeft w:val="0"/>
          <w:marRight w:val="0"/>
          <w:marTop w:val="0"/>
          <w:marBottom w:val="0"/>
          <w:divBdr>
            <w:top w:val="none" w:sz="0" w:space="0" w:color="auto"/>
            <w:left w:val="none" w:sz="0" w:space="0" w:color="auto"/>
            <w:bottom w:val="none" w:sz="0" w:space="0" w:color="auto"/>
            <w:right w:val="none" w:sz="0" w:space="0" w:color="auto"/>
          </w:divBdr>
        </w:div>
      </w:divsChild>
    </w:div>
    <w:div w:id="158617143">
      <w:marLeft w:val="0"/>
      <w:marRight w:val="0"/>
      <w:marTop w:val="0"/>
      <w:marBottom w:val="0"/>
      <w:divBdr>
        <w:top w:val="none" w:sz="0" w:space="0" w:color="auto"/>
        <w:left w:val="none" w:sz="0" w:space="0" w:color="auto"/>
        <w:bottom w:val="none" w:sz="0" w:space="0" w:color="auto"/>
        <w:right w:val="none" w:sz="0" w:space="0" w:color="auto"/>
      </w:divBdr>
      <w:divsChild>
        <w:div w:id="158617153">
          <w:marLeft w:val="0"/>
          <w:marRight w:val="0"/>
          <w:marTop w:val="0"/>
          <w:marBottom w:val="0"/>
          <w:divBdr>
            <w:top w:val="none" w:sz="0" w:space="0" w:color="auto"/>
            <w:left w:val="none" w:sz="0" w:space="0" w:color="auto"/>
            <w:bottom w:val="none" w:sz="0" w:space="0" w:color="auto"/>
            <w:right w:val="none" w:sz="0" w:space="0" w:color="auto"/>
          </w:divBdr>
        </w:div>
      </w:divsChild>
    </w:div>
    <w:div w:id="158617144">
      <w:marLeft w:val="0"/>
      <w:marRight w:val="0"/>
      <w:marTop w:val="0"/>
      <w:marBottom w:val="0"/>
      <w:divBdr>
        <w:top w:val="none" w:sz="0" w:space="0" w:color="auto"/>
        <w:left w:val="none" w:sz="0" w:space="0" w:color="auto"/>
        <w:bottom w:val="none" w:sz="0" w:space="0" w:color="auto"/>
        <w:right w:val="none" w:sz="0" w:space="0" w:color="auto"/>
      </w:divBdr>
      <w:divsChild>
        <w:div w:id="158617149">
          <w:marLeft w:val="0"/>
          <w:marRight w:val="0"/>
          <w:marTop w:val="0"/>
          <w:marBottom w:val="0"/>
          <w:divBdr>
            <w:top w:val="none" w:sz="0" w:space="0" w:color="auto"/>
            <w:left w:val="none" w:sz="0" w:space="0" w:color="auto"/>
            <w:bottom w:val="none" w:sz="0" w:space="0" w:color="auto"/>
            <w:right w:val="none" w:sz="0" w:space="0" w:color="auto"/>
          </w:divBdr>
        </w:div>
      </w:divsChild>
    </w:div>
    <w:div w:id="158617147">
      <w:marLeft w:val="0"/>
      <w:marRight w:val="0"/>
      <w:marTop w:val="0"/>
      <w:marBottom w:val="0"/>
      <w:divBdr>
        <w:top w:val="none" w:sz="0" w:space="0" w:color="auto"/>
        <w:left w:val="none" w:sz="0" w:space="0" w:color="auto"/>
        <w:bottom w:val="none" w:sz="0" w:space="0" w:color="auto"/>
        <w:right w:val="none" w:sz="0" w:space="0" w:color="auto"/>
      </w:divBdr>
      <w:divsChild>
        <w:div w:id="158617134">
          <w:marLeft w:val="0"/>
          <w:marRight w:val="0"/>
          <w:marTop w:val="0"/>
          <w:marBottom w:val="0"/>
          <w:divBdr>
            <w:top w:val="none" w:sz="0" w:space="0" w:color="auto"/>
            <w:left w:val="none" w:sz="0" w:space="0" w:color="auto"/>
            <w:bottom w:val="none" w:sz="0" w:space="0" w:color="auto"/>
            <w:right w:val="none" w:sz="0" w:space="0" w:color="auto"/>
          </w:divBdr>
        </w:div>
      </w:divsChild>
    </w:div>
    <w:div w:id="158617150">
      <w:marLeft w:val="0"/>
      <w:marRight w:val="0"/>
      <w:marTop w:val="0"/>
      <w:marBottom w:val="0"/>
      <w:divBdr>
        <w:top w:val="none" w:sz="0" w:space="0" w:color="auto"/>
        <w:left w:val="none" w:sz="0" w:space="0" w:color="auto"/>
        <w:bottom w:val="none" w:sz="0" w:space="0" w:color="auto"/>
        <w:right w:val="none" w:sz="0" w:space="0" w:color="auto"/>
      </w:divBdr>
      <w:divsChild>
        <w:div w:id="158617148">
          <w:marLeft w:val="0"/>
          <w:marRight w:val="0"/>
          <w:marTop w:val="0"/>
          <w:marBottom w:val="0"/>
          <w:divBdr>
            <w:top w:val="none" w:sz="0" w:space="0" w:color="auto"/>
            <w:left w:val="none" w:sz="0" w:space="0" w:color="auto"/>
            <w:bottom w:val="none" w:sz="0" w:space="0" w:color="auto"/>
            <w:right w:val="none" w:sz="0" w:space="0" w:color="auto"/>
          </w:divBdr>
        </w:div>
      </w:divsChild>
    </w:div>
    <w:div w:id="158617152">
      <w:marLeft w:val="0"/>
      <w:marRight w:val="0"/>
      <w:marTop w:val="0"/>
      <w:marBottom w:val="0"/>
      <w:divBdr>
        <w:top w:val="none" w:sz="0" w:space="0" w:color="auto"/>
        <w:left w:val="none" w:sz="0" w:space="0" w:color="auto"/>
        <w:bottom w:val="none" w:sz="0" w:space="0" w:color="auto"/>
        <w:right w:val="none" w:sz="0" w:space="0" w:color="auto"/>
      </w:divBdr>
      <w:divsChild>
        <w:div w:id="1586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ag-regelverk@skatteetaten.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1172</Words>
  <Characters>6214</Characters>
  <Application>Microsoft Office Outlook</Application>
  <DocSecurity>0</DocSecurity>
  <Lines>0</Lines>
  <Paragraphs>0</Paragraphs>
  <ScaleCrop>false</ScaleCrop>
  <Company>Den norske advokatforening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Trude Molvik</dc:creator>
  <cp:keywords/>
  <dc:description/>
  <cp:lastModifiedBy>Anna-Stina Slattum Karlsen</cp:lastModifiedBy>
  <cp:revision>2</cp:revision>
  <cp:lastPrinted>2013-05-16T06:04:00Z</cp:lastPrinted>
  <dcterms:created xsi:type="dcterms:W3CDTF">2013-05-30T07:56:00Z</dcterms:created>
  <dcterms:modified xsi:type="dcterms:W3CDTF">2013-05-30T07:56:00Z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Høring - Forslag til lov- og forskriftsendringer som følge av a-opplysningsloven</vt:lpwstr>
  </property>
  <property fmtid="{D5CDD505-2E9C-101B-9397-08002B2CF9AE}" pid="3" name="DocRef">
    <vt:lpwstr>156969</vt:lpwstr>
  </property>
  <property fmtid="{D5CDD505-2E9C-101B-9397-08002B2CF9AE}" pid="4" name="MemberNo">
    <vt:lpwstr>MemberNo</vt:lpwstr>
  </property>
</Properties>
</file>