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071D13" w:rsidRPr="00F03218" w:rsidTr="00073BBD">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071D13" w:rsidTr="00073BBD">
              <w:tc>
                <w:tcPr>
                  <w:tcW w:w="2122" w:type="dxa"/>
                </w:tcPr>
                <w:p w:rsidR="00071D13" w:rsidRDefault="00071D13" w:rsidP="00073BBD">
                  <w:pPr>
                    <w:keepNext/>
                    <w:spacing w:before="360"/>
                    <w:jc w:val="center"/>
                    <w:outlineLvl w:val="2"/>
                    <w:rPr>
                      <w:rFonts w:ascii="ITCOfficinaSans LT Bold" w:hAnsi="ITCOfficinaSans LT Bold"/>
                      <w:sz w:val="28"/>
                    </w:rPr>
                  </w:pPr>
                  <w:bookmarkStart w:id="0" w:name="_GoBack"/>
                  <w:bookmarkEnd w:id="0"/>
                  <w:r>
                    <w:rPr>
                      <w:b/>
                      <w:noProof/>
                      <w:sz w:val="28"/>
                    </w:rPr>
                    <w:drawing>
                      <wp:anchor distT="0" distB="0" distL="114300" distR="114300" simplePos="0" relativeHeight="251659264" behindDoc="0" locked="0" layoutInCell="1" allowOverlap="1" wp14:anchorId="267B481E" wp14:editId="628A6982">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071D13" w:rsidRDefault="00071D13" w:rsidP="00073BBD">
                  <w:pPr>
                    <w:keepNext/>
                    <w:spacing w:before="360"/>
                    <w:jc w:val="center"/>
                    <w:outlineLvl w:val="2"/>
                    <w:rPr>
                      <w:rFonts w:ascii="ITCOfficinaSans LT Bold" w:hAnsi="ITCOfficinaSans LT Bold"/>
                      <w:sz w:val="28"/>
                    </w:rPr>
                  </w:pPr>
                </w:p>
              </w:tc>
            </w:tr>
          </w:tbl>
          <w:p w:rsidR="00071D13" w:rsidRPr="00F03218" w:rsidRDefault="00071D13" w:rsidP="00073BBD">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071D13" w:rsidRDefault="00071D13" w:rsidP="00073BBD">
            <w:pPr>
              <w:spacing w:line="240" w:lineRule="auto"/>
              <w:jc w:val="right"/>
              <w:rPr>
                <w:rFonts w:ascii="ITCOfficinaSans LT Bold" w:eastAsia="Times New Roman" w:hAnsi="ITCOfficinaSans LT Bold" w:cs="Times New Roman"/>
                <w:sz w:val="28"/>
                <w:szCs w:val="20"/>
                <w:lang w:eastAsia="nb-NO"/>
              </w:rPr>
            </w:pPr>
          </w:p>
          <w:p w:rsidR="00071D13" w:rsidRDefault="00071D13" w:rsidP="00073BBD">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eastAsia="nb-NO"/>
              </w:rPr>
              <w:t>Rettledning til RF-135</w:t>
            </w:r>
            <w:r>
              <w:rPr>
                <w:rFonts w:ascii="ITCOfficinaSans LT Bold" w:eastAsia="Times New Roman" w:hAnsi="ITCOfficinaSans LT Bold" w:cs="Times New Roman"/>
                <w:sz w:val="28"/>
                <w:szCs w:val="20"/>
                <w:lang w:eastAsia="nb-NO"/>
              </w:rPr>
              <w:t>9</w:t>
            </w:r>
            <w:r w:rsidRPr="00F03218">
              <w:rPr>
                <w:rFonts w:ascii="ITCOfficinaSans LT Bold" w:eastAsia="Times New Roman" w:hAnsi="ITCOfficinaSans LT Bold" w:cs="Times New Roman"/>
                <w:sz w:val="28"/>
                <w:szCs w:val="20"/>
                <w:lang w:eastAsia="nb-NO"/>
              </w:rPr>
              <w:t xml:space="preserve"> </w:t>
            </w:r>
            <w:r w:rsidRPr="00C15EA1">
              <w:rPr>
                <w:rFonts w:ascii="ITCOfficinaSans LT Bold" w:eastAsia="Times New Roman" w:hAnsi="ITCOfficinaSans LT Bold" w:cs="Times New Roman"/>
                <w:sz w:val="28"/>
                <w:szCs w:val="20"/>
                <w:lang w:eastAsia="nb-NO"/>
              </w:rPr>
              <w:t xml:space="preserve">Gevinst, tap, utbytte på aksjer og andre finansielle produkter (kun for selskap) </w:t>
            </w:r>
            <w:r>
              <w:rPr>
                <w:rFonts w:ascii="ITCOfficinaSans LT Bold" w:eastAsia="Times New Roman" w:hAnsi="ITCOfficinaSans LT Bold" w:cs="Times New Roman"/>
                <w:sz w:val="28"/>
                <w:szCs w:val="20"/>
                <w:lang w:eastAsia="nb-NO"/>
              </w:rPr>
              <w:t>2020</w:t>
            </w:r>
            <w:r>
              <w:rPr>
                <w:rFonts w:ascii="ITCOfficinaSans LT Bold" w:eastAsia="Times New Roman" w:hAnsi="ITCOfficinaSans LT Bold" w:cs="Times New Roman"/>
                <w:sz w:val="28"/>
                <w:szCs w:val="20"/>
                <w:lang w:eastAsia="nb-NO"/>
              </w:rPr>
              <w:br/>
            </w:r>
            <w:r w:rsidRPr="007B7ECF">
              <w:rPr>
                <w:rFonts w:ascii="ITCOfficinaSans LT Book" w:eastAsia="Times New Roman" w:hAnsi="ITCOfficinaSans LT Book" w:cs="Times New Roman"/>
                <w:sz w:val="18"/>
                <w:szCs w:val="20"/>
                <w:lang w:eastAsia="nb-NO"/>
              </w:rPr>
              <w:t>Fastsatt av Skattedirektoratet</w:t>
            </w:r>
          </w:p>
          <w:p w:rsidR="00071D13" w:rsidRPr="00F03218" w:rsidRDefault="00071D13" w:rsidP="00073BBD">
            <w:pPr>
              <w:spacing w:after="0" w:line="240" w:lineRule="auto"/>
              <w:jc w:val="right"/>
              <w:rPr>
                <w:rFonts w:ascii="ITC Officina Sans Book" w:eastAsia="Times New Roman" w:hAnsi="ITC Officina Sans Book" w:cs="Times New Roman"/>
                <w:sz w:val="18"/>
                <w:szCs w:val="20"/>
                <w:lang w:eastAsia="nb-NO"/>
              </w:rPr>
            </w:pPr>
          </w:p>
        </w:tc>
      </w:tr>
      <w:tr w:rsidR="00071D13" w:rsidRPr="00F03218" w:rsidTr="00073BBD">
        <w:trPr>
          <w:trHeight w:hRule="exact" w:val="198"/>
        </w:trPr>
        <w:tc>
          <w:tcPr>
            <w:tcW w:w="10419" w:type="dxa"/>
            <w:gridSpan w:val="2"/>
            <w:tcBorders>
              <w:top w:val="single" w:sz="24" w:space="0" w:color="auto"/>
              <w:left w:val="nil"/>
              <w:bottom w:val="nil"/>
              <w:right w:val="nil"/>
            </w:tcBorders>
          </w:tcPr>
          <w:p w:rsidR="00071D13" w:rsidRPr="00F03218" w:rsidRDefault="00071D13" w:rsidP="00073BBD">
            <w:pPr>
              <w:spacing w:after="0" w:line="240" w:lineRule="auto"/>
              <w:ind w:left="510"/>
              <w:rPr>
                <w:rFonts w:ascii="Arial" w:eastAsia="Times New Roman" w:hAnsi="Arial" w:cs="Times New Roman"/>
                <w:szCs w:val="20"/>
                <w:lang w:eastAsia="nb-NO"/>
              </w:rPr>
            </w:pPr>
          </w:p>
        </w:tc>
      </w:tr>
    </w:tbl>
    <w:p w:rsidR="00071D13" w:rsidRPr="00F03218" w:rsidRDefault="00071D13" w:rsidP="00071D13">
      <w:pPr>
        <w:spacing w:after="0" w:line="240" w:lineRule="auto"/>
        <w:rPr>
          <w:rFonts w:ascii="NewCenturySchlbk" w:eastAsia="Times New Roman" w:hAnsi="NewCenturySchlbk" w:cs="Times New Roman"/>
          <w:sz w:val="18"/>
          <w:szCs w:val="20"/>
          <w:lang w:eastAsia="nb-NO"/>
        </w:rPr>
        <w:sectPr w:rsidR="00071D13" w:rsidRPr="00F03218" w:rsidSect="002C77D4">
          <w:footerReference w:type="even" r:id="rId8"/>
          <w:footerReference w:type="default" r:id="rId9"/>
          <w:footerReference w:type="first" r:id="rId10"/>
          <w:pgSz w:w="11906" w:h="16838"/>
          <w:pgMar w:top="567" w:right="709" w:bottom="567" w:left="992" w:header="708" w:footer="352" w:gutter="0"/>
          <w:cols w:space="708"/>
          <w:titlePg/>
        </w:sectPr>
      </w:pPr>
    </w:p>
    <w:p w:rsidR="00071D13" w:rsidRPr="0073552C" w:rsidRDefault="00071D13" w:rsidP="00071D13">
      <w:pPr>
        <w:pStyle w:val="Overskrift1"/>
        <w:rPr>
          <w:rFonts w:ascii="Arial" w:hAnsi="Arial" w:cs="Arial"/>
          <w:szCs w:val="24"/>
        </w:rPr>
      </w:pPr>
      <w:r w:rsidRPr="0073552C">
        <w:rPr>
          <w:rFonts w:ascii="Arial" w:hAnsi="Arial" w:cs="Arial"/>
          <w:szCs w:val="24"/>
        </w:rPr>
        <w:lastRenderedPageBreak/>
        <w:t>A Innledning</w:t>
      </w:r>
    </w:p>
    <w:p w:rsidR="00071D13" w:rsidRPr="0073552C" w:rsidRDefault="00071D13" w:rsidP="00071D13">
      <w:pPr>
        <w:pStyle w:val="Overskrift2"/>
        <w:rPr>
          <w:rFonts w:cs="Arial"/>
          <w:b w:val="0"/>
          <w:bCs w:val="0"/>
          <w:sz w:val="28"/>
          <w:szCs w:val="28"/>
        </w:rPr>
      </w:pPr>
    </w:p>
    <w:p w:rsidR="00071D13" w:rsidRPr="0073552C" w:rsidRDefault="00071D13" w:rsidP="00071D13">
      <w:pPr>
        <w:pStyle w:val="Overskrift2"/>
        <w:rPr>
          <w:rFonts w:cs="Arial"/>
          <w:sz w:val="18"/>
          <w:szCs w:val="18"/>
        </w:rPr>
      </w:pPr>
      <w:r w:rsidRPr="0073552C">
        <w:rPr>
          <w:rFonts w:cs="Arial"/>
          <w:sz w:val="18"/>
          <w:szCs w:val="18"/>
        </w:rPr>
        <w:t>Hvem skal levere skjema</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 xml:space="preserve">Skjemaet skal leveres av aksjeselskap/allmennaksjeselskap og selskap med deltakerfastsetting som har skattepliktig gevinst, utbytte og/eller fradragsberettiget tap på aksjer og andre finansielle produkter. Med finansielle produkter menes blant annet aksjer, verdipapirfond, obligasjoner, opsjoner og andre derivater mm. Gevinst eller tap på andel i selskap med deltakerfastsetting og utdelinger fra slike selskap skal det ikke gis opplysninger om her. </w:t>
      </w:r>
      <w:r w:rsidRPr="00175770">
        <w:rPr>
          <w:rFonts w:ascii="Arial" w:hAnsi="Arial" w:cs="Arial"/>
          <w:sz w:val="18"/>
        </w:rPr>
        <w:t>Skjemaet skal ikke leveres for selskap som omfattes av petroleumsskatteloven § 1</w:t>
      </w:r>
      <w:r>
        <w:rPr>
          <w:rFonts w:ascii="Arial" w:hAnsi="Arial" w:cs="Arial"/>
          <w:sz w:val="18"/>
        </w:rPr>
        <w:t>,</w:t>
      </w:r>
      <w:r w:rsidRPr="00175770">
        <w:rPr>
          <w:rFonts w:ascii="Arial" w:hAnsi="Arial" w:cs="Arial"/>
          <w:sz w:val="18"/>
        </w:rPr>
        <w:t xml:space="preserve"> for selskap som faller inn under særreglene om rederibeskatning</w:t>
      </w:r>
      <w:r>
        <w:rPr>
          <w:rFonts w:ascii="Arial" w:hAnsi="Arial" w:cs="Arial"/>
          <w:sz w:val="18"/>
        </w:rPr>
        <w:t xml:space="preserve"> og verdipapirfond</w:t>
      </w:r>
      <w:r w:rsidRPr="00175770">
        <w:rPr>
          <w:rFonts w:ascii="Arial" w:hAnsi="Arial" w:cs="Arial"/>
          <w:sz w:val="18"/>
        </w:rPr>
        <w:t>.</w:t>
      </w:r>
    </w:p>
    <w:p w:rsidR="00071D13" w:rsidRPr="0073552C" w:rsidRDefault="00071D13" w:rsidP="00071D13">
      <w:pPr>
        <w:pStyle w:val="Overskrift2"/>
        <w:rPr>
          <w:rFonts w:cs="Arial"/>
          <w:sz w:val="18"/>
          <w:szCs w:val="18"/>
        </w:rPr>
      </w:pPr>
      <w:r w:rsidRPr="0073552C">
        <w:rPr>
          <w:rFonts w:cs="Arial"/>
          <w:sz w:val="18"/>
          <w:szCs w:val="18"/>
        </w:rPr>
        <w:t>Hva skal det gis opplysninger om</w:t>
      </w:r>
    </w:p>
    <w:p w:rsidR="00071D13" w:rsidRPr="0073552C" w:rsidRDefault="00071D13" w:rsidP="00071D13">
      <w:p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Skjemaet er lagt opp til at selskapet kan rapportere både skattepliktige inntekter og skattefrie inntekter. Skattepliktige inntekter skal rapporteres og overføres til næringsoppgaven. Selskapet må selv vurdere om inntekten er innenfor eller utenfor fritaksmetoden, se nedenfor.</w:t>
      </w:r>
    </w:p>
    <w:p w:rsidR="00071D13" w:rsidRPr="0073552C" w:rsidRDefault="00071D13" w:rsidP="00071D13">
      <w:pPr>
        <w:pStyle w:val="Overskrift2"/>
        <w:rPr>
          <w:rFonts w:cs="Arial"/>
          <w:sz w:val="18"/>
        </w:rPr>
      </w:pPr>
      <w:r w:rsidRPr="0073552C">
        <w:rPr>
          <w:rFonts w:cs="Arial"/>
          <w:sz w:val="18"/>
          <w:szCs w:val="18"/>
        </w:rPr>
        <w:t xml:space="preserve">Hovedregel for skatteplikt og skattefrie inntekter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b/>
          <w:color w:val="auto"/>
          <w:sz w:val="18"/>
          <w:szCs w:val="18"/>
        </w:rPr>
      </w:pPr>
      <w:r w:rsidRPr="0073552C">
        <w:rPr>
          <w:rFonts w:ascii="Arial" w:hAnsi="Arial" w:cs="Arial"/>
          <w:b/>
          <w:color w:val="auto"/>
          <w:sz w:val="18"/>
          <w:szCs w:val="18"/>
        </w:rPr>
        <w:t>Fritaksmetoden</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Fritaksmetoden innebærer at selskapsaksjonærer som hovedregel skal fritas for beskatning av gevinst og utbytte på aksjer mv.</w:t>
      </w:r>
      <w:r w:rsidRPr="0073552C">
        <w:rPr>
          <w:rFonts w:ascii="Arial" w:eastAsiaTheme="minorHAnsi" w:hAnsi="Arial" w:cs="Arial"/>
          <w:color w:val="auto"/>
          <w:sz w:val="18"/>
          <w:szCs w:val="20"/>
          <w:lang w:eastAsia="en-US"/>
        </w:rPr>
        <w:t xml:space="preserve"> </w:t>
      </w:r>
      <w:r w:rsidRPr="0073552C">
        <w:rPr>
          <w:rFonts w:ascii="Arial" w:hAnsi="Arial" w:cs="Arial"/>
          <w:color w:val="auto"/>
          <w:sz w:val="18"/>
          <w:szCs w:val="20"/>
        </w:rPr>
        <w:t xml:space="preserve">for aksjer i selskap hjemmehørende i Norge og EØS. 3 prosent av utbytte skal likevel inngå i alminnelig inntekt. Tilsvarende vil det ikke være fradragsrett for tap ved realisasjon av aksjer.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Følgende utbytte og gevinst er unntatt beskatning når de kommer fra eierandeler i:</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aksjeselskaper og </w:t>
      </w:r>
      <w:proofErr w:type="spellStart"/>
      <w:r w:rsidRPr="0073552C">
        <w:rPr>
          <w:rFonts w:ascii="Arial" w:hAnsi="Arial" w:cs="Arial"/>
          <w:color w:val="auto"/>
          <w:sz w:val="18"/>
          <w:szCs w:val="20"/>
        </w:rPr>
        <w:t>allmennaksjeselskaper</w:t>
      </w:r>
      <w:proofErr w:type="spellEnd"/>
      <w:r w:rsidRPr="0073552C">
        <w:rPr>
          <w:rFonts w:ascii="Arial" w:hAnsi="Arial" w:cs="Arial"/>
          <w:color w:val="auto"/>
          <w:sz w:val="18"/>
          <w:szCs w:val="20"/>
        </w:rPr>
        <w:t xml:space="preserve">, herunder europeiske selskaper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sparebanker og andre selveiende finansieringsforetak,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gjensidige forsikringsselskaper,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samvirkeforetak, herunder europeiske samvirkeforetak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verdipapirfond</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selskap med deltakerfastsetting og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interkommunale selskaper.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lastRenderedPageBreak/>
        <w:t xml:space="preserve">Det samme vil gjelde inntekter fra finansielle instrumenter (derivater) som har kvalifiserende eierandel som underliggende objekt.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I utgangspunktet gjelder fritaksmetoden både inntekter fra norske og utenlandske aksjeselskaper.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Det er likevel gjort visse unntak fra fritaksmetoden i skatteloven § 2-38 (3) for inntekter og tap på eierandeler i enkelte selskaper, og gevinster og tap på finansielle instrumenter med slik eierandel som underliggende objekt.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Unntak er gjort bl.a. for inntekt på eierandel i selskap mv. som er hjemmehørende i lavskatteland i EØS, og som ikke er reelt etablert og ikke driver reell økonomisk virksomhet der. Tilsvarende gjelder ved realisasjon av finansielt instrument med slik eierandel som underliggende objekt.</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Unntakene gjør seg videre gjeldende i følgende tilfeller hvis selskapet er hjemmehørende i et land utenfor EØS når: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selskap mv. er hjemmehørende i et lavskatteland eller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 gevinsten/tapet gjelder porteføljeinvestering (se nedenfor).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Se Skattedirektoratets forskrift til skatteloven (FSSD) 22.11.1999 nr.1160 § 10-63 om hvilke land som regnes som lavskatteland.</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Gevinst på eierandel i selskap mv. eller finansielt instrument med slik eierandel som underliggende objekt utenfor EØS unntas fra fritaksmetoden, dersom </w:t>
      </w:r>
      <w:r w:rsidR="00C76E14">
        <w:rPr>
          <w:rFonts w:ascii="Arial" w:hAnsi="Arial" w:cs="Arial"/>
          <w:color w:val="auto"/>
          <w:sz w:val="18"/>
          <w:szCs w:val="20"/>
        </w:rPr>
        <w:t>skattepliktig</w:t>
      </w:r>
      <w:r w:rsidRPr="0073552C">
        <w:rPr>
          <w:rFonts w:ascii="Arial" w:hAnsi="Arial" w:cs="Arial"/>
          <w:color w:val="auto"/>
          <w:sz w:val="18"/>
          <w:szCs w:val="20"/>
        </w:rPr>
        <w:t xml:space="preserve"> ikke sammenhengende de to siste årene frem til innvinningen har eid minst 10 pst. av kapitalen og hatt minst 10 pst. av stemmene som kan avgis på generalforsamlingen i selskapet.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Tap på eierandel i selskap mv. eller finansielt instrument med slik eierandel som underliggende objekt, utenfor EØS er fradragsberettiget etter alminnelige regler dersom </w:t>
      </w:r>
      <w:r w:rsidR="00C76E14">
        <w:rPr>
          <w:rFonts w:ascii="Arial" w:hAnsi="Arial" w:cs="Arial"/>
          <w:color w:val="auto"/>
          <w:sz w:val="18"/>
          <w:szCs w:val="20"/>
        </w:rPr>
        <w:t>skattepliktig</w:t>
      </w:r>
      <w:r w:rsidRPr="0073552C">
        <w:rPr>
          <w:rFonts w:ascii="Arial" w:hAnsi="Arial" w:cs="Arial"/>
          <w:color w:val="auto"/>
          <w:sz w:val="18"/>
          <w:szCs w:val="20"/>
        </w:rPr>
        <w:t xml:space="preserve"> ikke på noe tidspunkt de to siste årene frem til oppofrelse har eid 10 prosent eller mer av stemmene som kan avgis på generalforsamlingen i selskapet.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Toårsperioden for måling av kapital- eller stemmeandel løper frem til gevinst eller tap realiseres, og regnes fra og med samme dag to år tilbake i tid.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Det er vedtatt identifikasjonsregler som innebærer at kapital og stemmer knyttet </w:t>
      </w:r>
      <w:r w:rsidRPr="0073552C">
        <w:rPr>
          <w:rFonts w:ascii="Arial" w:hAnsi="Arial" w:cs="Arial"/>
          <w:color w:val="auto"/>
          <w:sz w:val="18"/>
          <w:szCs w:val="20"/>
        </w:rPr>
        <w:lastRenderedPageBreak/>
        <w:t xml:space="preserve">til aksjer eid av nærstående skal medregnes, ved vurderingen av om </w:t>
      </w:r>
      <w:r w:rsidR="00C76E14">
        <w:rPr>
          <w:rFonts w:ascii="Arial" w:hAnsi="Arial" w:cs="Arial"/>
          <w:color w:val="auto"/>
          <w:sz w:val="18"/>
          <w:szCs w:val="20"/>
        </w:rPr>
        <w:t>skattepliktig</w:t>
      </w:r>
      <w:r w:rsidRPr="0073552C">
        <w:rPr>
          <w:rFonts w:ascii="Arial" w:hAnsi="Arial" w:cs="Arial"/>
          <w:color w:val="auto"/>
          <w:sz w:val="18"/>
          <w:szCs w:val="20"/>
        </w:rPr>
        <w:t xml:space="preserve"> gjennom de siste to årene fram til oppofrelsen har hatt tilstrekkelig lav eierinteresse til at fritaksmetoden ikke kommer til anvendelse, og at det dermed er fradragsrett for tap. Kapital og stemmer knyttet til aksjer eid av nærstående skal ikke medregnes når </w:t>
      </w:r>
      <w:r w:rsidR="00C76E14">
        <w:rPr>
          <w:rFonts w:ascii="Arial" w:hAnsi="Arial" w:cs="Arial"/>
          <w:color w:val="auto"/>
          <w:sz w:val="18"/>
          <w:szCs w:val="20"/>
        </w:rPr>
        <w:t>skattepliktig</w:t>
      </w:r>
      <w:r w:rsidRPr="0073552C">
        <w:rPr>
          <w:rFonts w:ascii="Arial" w:hAnsi="Arial" w:cs="Arial"/>
          <w:color w:val="auto"/>
          <w:sz w:val="18"/>
          <w:szCs w:val="20"/>
        </w:rPr>
        <w:t xml:space="preserve"> realiserer gevinst.</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b/>
          <w:color w:val="auto"/>
          <w:sz w:val="18"/>
          <w:szCs w:val="20"/>
        </w:rPr>
      </w:pPr>
      <w:r w:rsidRPr="0073552C">
        <w:rPr>
          <w:rFonts w:ascii="Arial" w:hAnsi="Arial" w:cs="Arial"/>
          <w:b/>
          <w:color w:val="auto"/>
          <w:sz w:val="18"/>
          <w:szCs w:val="20"/>
        </w:rPr>
        <w:t>Verdipapirfond</w:t>
      </w:r>
    </w:p>
    <w:p w:rsidR="00071D13" w:rsidRPr="0073552C" w:rsidRDefault="00071D13" w:rsidP="00071D13">
      <w:pPr>
        <w:pStyle w:val="Default"/>
        <w:rPr>
          <w:rFonts w:ascii="Arial" w:hAnsi="Arial" w:cs="Arial"/>
          <w:b/>
          <w:sz w:val="18"/>
          <w:szCs w:val="20"/>
        </w:rPr>
      </w:pPr>
    </w:p>
    <w:p w:rsidR="00071D13" w:rsidRPr="0073552C" w:rsidRDefault="00071D13" w:rsidP="00071D13">
      <w:pPr>
        <w:pStyle w:val="Default"/>
        <w:rPr>
          <w:rFonts w:ascii="Arial" w:hAnsi="Arial" w:cs="Arial"/>
          <w:b/>
          <w:i/>
          <w:sz w:val="16"/>
          <w:szCs w:val="16"/>
        </w:rPr>
      </w:pPr>
      <w:r w:rsidRPr="0073552C">
        <w:rPr>
          <w:rFonts w:ascii="Arial" w:hAnsi="Arial" w:cs="Arial"/>
          <w:b/>
          <w:i/>
          <w:sz w:val="16"/>
          <w:szCs w:val="16"/>
        </w:rPr>
        <w:t>Utdelingsbeskatning</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Aksjeandelen i fondet er avgjørende for hvordan utdeling fra fondet skal beskattes.</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Reglene bygger på at utdeling som skriver seg fra renteinntekter skal beskattes som renteinntekt, mens utdeling som skriver seg fra aksjeinntekter skal beskattes som aksjeutbytte. Det er en sjablongmessig metode for å fastsette hvor stor del av avkastningen</w:t>
      </w:r>
      <w:r>
        <w:rPr>
          <w:rFonts w:ascii="Arial" w:hAnsi="Arial" w:cs="Arial"/>
          <w:sz w:val="18"/>
          <w:szCs w:val="20"/>
        </w:rPr>
        <w:t xml:space="preserve"> </w:t>
      </w:r>
      <w:r w:rsidRPr="0073552C">
        <w:rPr>
          <w:rFonts w:ascii="Arial" w:hAnsi="Arial" w:cs="Arial"/>
          <w:sz w:val="18"/>
          <w:szCs w:val="20"/>
        </w:rPr>
        <w:t>som skal anses å skrive seg fra aksjer</w:t>
      </w:r>
      <w:r>
        <w:rPr>
          <w:rFonts w:ascii="Arial" w:hAnsi="Arial" w:cs="Arial"/>
          <w:sz w:val="18"/>
          <w:szCs w:val="20"/>
        </w:rPr>
        <w:t>.</w:t>
      </w:r>
    </w:p>
    <w:p w:rsidR="00071D13" w:rsidRPr="0073552C" w:rsidRDefault="00071D13" w:rsidP="00071D13">
      <w:pPr>
        <w:pStyle w:val="Default"/>
        <w:rPr>
          <w:rFonts w:ascii="Arial" w:hAnsi="Arial" w:cs="Arial"/>
          <w:sz w:val="18"/>
          <w:szCs w:val="20"/>
        </w:rPr>
      </w:pP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xml:space="preserve">Andelseierne skattlegges som følger, jf. </w:t>
      </w:r>
      <w:r w:rsidR="00C76E14">
        <w:rPr>
          <w:rFonts w:ascii="Arial" w:hAnsi="Arial" w:cs="Arial"/>
          <w:sz w:val="18"/>
          <w:szCs w:val="20"/>
        </w:rPr>
        <w:t>skatteloven</w:t>
      </w:r>
      <w:r w:rsidRPr="0073552C">
        <w:rPr>
          <w:rFonts w:ascii="Arial" w:hAnsi="Arial" w:cs="Arial"/>
          <w:sz w:val="18"/>
          <w:szCs w:val="20"/>
        </w:rPr>
        <w:t xml:space="preserve"> §10-20 tredje ledd:</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Utdeling fra verdipapirfond med mer enn 80 % aksjeandel skattlegges som aksjeutbytte.</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Utdeling fra verdipapirfond med mindre enn 20 % aksjeandel skattlegges som renteinntekt.</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Utdeling fra verdipapirfond med mellom 20</w:t>
      </w:r>
      <w:r>
        <w:rPr>
          <w:rFonts w:ascii="Arial" w:hAnsi="Arial" w:cs="Arial"/>
          <w:sz w:val="18"/>
          <w:szCs w:val="20"/>
        </w:rPr>
        <w:t xml:space="preserve"> %</w:t>
      </w:r>
      <w:r w:rsidRPr="0073552C">
        <w:rPr>
          <w:rFonts w:ascii="Arial" w:hAnsi="Arial" w:cs="Arial"/>
          <w:sz w:val="18"/>
          <w:szCs w:val="20"/>
        </w:rPr>
        <w:t xml:space="preserve"> og 80 % aksjeandel splittes i en del som</w:t>
      </w:r>
      <w:r>
        <w:rPr>
          <w:rFonts w:ascii="Arial" w:hAnsi="Arial" w:cs="Arial"/>
          <w:sz w:val="18"/>
          <w:szCs w:val="20"/>
        </w:rPr>
        <w:t xml:space="preserve"> </w:t>
      </w:r>
      <w:r w:rsidRPr="0073552C">
        <w:rPr>
          <w:rFonts w:ascii="Arial" w:hAnsi="Arial" w:cs="Arial"/>
          <w:sz w:val="18"/>
          <w:szCs w:val="20"/>
        </w:rPr>
        <w:t>skal skattlegges som aksjeutbytte og en del som skal skattlegges som renter, beregnet</w:t>
      </w:r>
      <w:r>
        <w:rPr>
          <w:rFonts w:ascii="Arial" w:hAnsi="Arial" w:cs="Arial"/>
          <w:sz w:val="18"/>
          <w:szCs w:val="20"/>
        </w:rPr>
        <w:t xml:space="preserve"> </w:t>
      </w:r>
      <w:r w:rsidRPr="0073552C">
        <w:rPr>
          <w:rFonts w:ascii="Arial" w:hAnsi="Arial" w:cs="Arial"/>
          <w:sz w:val="18"/>
          <w:szCs w:val="20"/>
        </w:rPr>
        <w:t>forholdsmessig ut fra aksjeandelen.</w:t>
      </w:r>
    </w:p>
    <w:p w:rsidR="00071D13" w:rsidRPr="0073552C" w:rsidRDefault="00071D13" w:rsidP="00071D13">
      <w:pPr>
        <w:pStyle w:val="Default"/>
        <w:rPr>
          <w:rFonts w:ascii="Arial" w:hAnsi="Arial" w:cs="Arial"/>
          <w:sz w:val="18"/>
          <w:szCs w:val="20"/>
        </w:rPr>
      </w:pPr>
    </w:p>
    <w:p w:rsidR="00071D13" w:rsidRPr="0073552C" w:rsidRDefault="00071D13" w:rsidP="00071D13">
      <w:pPr>
        <w:pStyle w:val="Default"/>
        <w:rPr>
          <w:rFonts w:ascii="Arial" w:hAnsi="Arial" w:cs="Arial"/>
          <w:b/>
          <w:sz w:val="18"/>
          <w:szCs w:val="20"/>
        </w:rPr>
      </w:pPr>
      <w:r w:rsidRPr="0073552C">
        <w:rPr>
          <w:rFonts w:ascii="Arial" w:hAnsi="Arial" w:cs="Arial"/>
          <w:sz w:val="18"/>
          <w:szCs w:val="20"/>
        </w:rPr>
        <w:t>For selskaper mv. gjelder fritaksmetoden for den delen av utdelingen som skal anses</w:t>
      </w:r>
      <w:r>
        <w:rPr>
          <w:rFonts w:ascii="Arial" w:hAnsi="Arial" w:cs="Arial"/>
          <w:sz w:val="18"/>
          <w:szCs w:val="20"/>
        </w:rPr>
        <w:t xml:space="preserve"> </w:t>
      </w:r>
      <w:r w:rsidRPr="0073552C">
        <w:rPr>
          <w:rFonts w:ascii="Arial" w:hAnsi="Arial" w:cs="Arial"/>
          <w:sz w:val="18"/>
          <w:szCs w:val="20"/>
        </w:rPr>
        <w:t>som aksjeinntekt. Den delen av utdelingen som skal skattlegges som renteinntekt omfattes ikke av fritaksmetoden og skattlegges som kapitalinntekt.</w:t>
      </w:r>
    </w:p>
    <w:p w:rsidR="00071D13" w:rsidRPr="0073552C" w:rsidRDefault="00071D13" w:rsidP="00071D13">
      <w:pPr>
        <w:pStyle w:val="Default"/>
        <w:rPr>
          <w:rFonts w:ascii="Arial" w:hAnsi="Arial" w:cs="Arial"/>
          <w:b/>
          <w:sz w:val="18"/>
          <w:szCs w:val="20"/>
        </w:rPr>
      </w:pPr>
    </w:p>
    <w:p w:rsidR="00071D13" w:rsidRPr="0073552C" w:rsidRDefault="00071D13" w:rsidP="00071D13">
      <w:pPr>
        <w:pStyle w:val="Default"/>
        <w:rPr>
          <w:rFonts w:ascii="Arial" w:hAnsi="Arial" w:cs="Arial"/>
          <w:b/>
          <w:i/>
          <w:sz w:val="16"/>
          <w:szCs w:val="16"/>
        </w:rPr>
      </w:pPr>
      <w:r w:rsidRPr="0073552C">
        <w:rPr>
          <w:rFonts w:ascii="Arial" w:hAnsi="Arial" w:cs="Arial"/>
          <w:b/>
          <w:i/>
          <w:sz w:val="16"/>
          <w:szCs w:val="16"/>
        </w:rPr>
        <w:t>Realisasjonsbeskatning</w:t>
      </w: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xml:space="preserve">For selskaper mv. som er subjekt under fritaksmetoden, får fritaksmetoden anvendelse for en andel av gevinst og tap som gjenspeiler andelen av aksjer i fondet. </w:t>
      </w:r>
    </w:p>
    <w:p w:rsidR="00071D13" w:rsidRPr="0073552C" w:rsidRDefault="00071D13" w:rsidP="00071D13">
      <w:pPr>
        <w:pStyle w:val="Default"/>
        <w:rPr>
          <w:rFonts w:ascii="Arial" w:hAnsi="Arial" w:cs="Arial"/>
          <w:color w:val="auto"/>
          <w:sz w:val="18"/>
          <w:szCs w:val="20"/>
        </w:rPr>
      </w:pPr>
      <w:r w:rsidRPr="0073552C">
        <w:rPr>
          <w:rFonts w:ascii="Arial" w:hAnsi="Arial" w:cs="Arial"/>
          <w:sz w:val="18"/>
          <w:szCs w:val="20"/>
        </w:rPr>
        <w:t xml:space="preserve">Aksjeandelen fastsettes i samsvar med </w:t>
      </w:r>
      <w:proofErr w:type="gramStart"/>
      <w:r w:rsidR="00C76E14">
        <w:rPr>
          <w:rFonts w:ascii="Arial" w:hAnsi="Arial" w:cs="Arial"/>
          <w:sz w:val="18"/>
          <w:szCs w:val="20"/>
        </w:rPr>
        <w:t>skatteloven</w:t>
      </w:r>
      <w:r w:rsidRPr="0073552C">
        <w:rPr>
          <w:rFonts w:ascii="Arial" w:hAnsi="Arial" w:cs="Arial"/>
          <w:sz w:val="18"/>
          <w:szCs w:val="20"/>
        </w:rPr>
        <w:t xml:space="preserve">  §</w:t>
      </w:r>
      <w:proofErr w:type="gramEnd"/>
      <w:r w:rsidRPr="0073552C">
        <w:rPr>
          <w:rFonts w:ascii="Arial" w:hAnsi="Arial" w:cs="Arial"/>
          <w:sz w:val="18"/>
          <w:szCs w:val="20"/>
        </w:rPr>
        <w:t xml:space="preserve"> 10-20 tredje ledd, se strekpunktene ovenfor. Ved </w:t>
      </w:r>
      <w:r w:rsidRPr="0073552C">
        <w:rPr>
          <w:rFonts w:ascii="Arial" w:hAnsi="Arial" w:cs="Arial"/>
          <w:color w:val="auto"/>
          <w:sz w:val="18"/>
          <w:szCs w:val="20"/>
        </w:rPr>
        <w:t>beregningen av aksjeandelen for selskaper som faller inn under fritaksmetoden skal gjennomsnittet av aksjeandelen i ervervsåret og i salgsåret legges til grunn.</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sz w:val="18"/>
          <w:szCs w:val="20"/>
        </w:rPr>
        <w:lastRenderedPageBreak/>
        <w:t>Fra og med 1.1.2016 gjelder ikke fritaksmetoden for derivatbaserte verdipapirfond (f.eks. Bear og Bull ETF-er). Dette innebærer at man ved fastsettelsen av aksjeandelen i fondet ikke skal medta derivater som har aksjer som underliggende verdipapirer. Alle derivater regnes som andre verdipapirer enn aksjer ved fastsettelsen av aksjeandelen. Det innebærer at inntekter et aksjeselskap mottar fra fond som utelukkende har investert i derivater faller utenfor fritaksmetoden.</w:t>
      </w:r>
    </w:p>
    <w:p w:rsidR="00071D13" w:rsidRPr="0073552C" w:rsidRDefault="00071D13" w:rsidP="00071D13">
      <w:pPr>
        <w:pStyle w:val="Default"/>
        <w:rPr>
          <w:rFonts w:ascii="Arial" w:hAnsi="Arial" w:cs="Arial"/>
          <w:sz w:val="18"/>
          <w:szCs w:val="20"/>
        </w:rPr>
      </w:pPr>
    </w:p>
    <w:p w:rsidR="00071D13" w:rsidRPr="0073552C" w:rsidRDefault="00071D13" w:rsidP="00071D13">
      <w:pPr>
        <w:pStyle w:val="Default"/>
        <w:rPr>
          <w:rFonts w:ascii="Arial" w:hAnsi="Arial" w:cs="Arial"/>
          <w:sz w:val="18"/>
          <w:szCs w:val="20"/>
        </w:rPr>
      </w:pPr>
      <w:r w:rsidRPr="0073552C">
        <w:rPr>
          <w:rFonts w:ascii="Arial" w:hAnsi="Arial" w:cs="Arial"/>
          <w:sz w:val="18"/>
          <w:szCs w:val="20"/>
        </w:rPr>
        <w:t xml:space="preserve">Nærmere om disse reglene og eksempler, se </w:t>
      </w:r>
      <w:r w:rsidR="00C76E14" w:rsidRPr="00072087">
        <w:rPr>
          <w:rFonts w:ascii="Arial" w:hAnsi="Arial" w:cs="Arial"/>
          <w:sz w:val="18"/>
          <w:szCs w:val="20"/>
        </w:rPr>
        <w:t>https://www.skatteetaten.no/person/skatt/hjelp-til-riktig-skatt/aksjer-og-verdipapirer/</w:t>
      </w:r>
    </w:p>
    <w:p w:rsidR="00071D13" w:rsidRPr="0073552C" w:rsidRDefault="00071D13" w:rsidP="00071D13">
      <w:pPr>
        <w:pStyle w:val="Default"/>
        <w:rPr>
          <w:rFonts w:ascii="Arial" w:hAnsi="Arial" w:cs="Arial"/>
          <w:sz w:val="18"/>
          <w:szCs w:val="20"/>
        </w:rPr>
      </w:pPr>
    </w:p>
    <w:p w:rsidR="00071D13" w:rsidRPr="0073552C" w:rsidRDefault="00071D13" w:rsidP="00071D13">
      <w:pPr>
        <w:pStyle w:val="Overskrift1"/>
        <w:rPr>
          <w:rFonts w:ascii="Arial" w:hAnsi="Arial" w:cs="Arial"/>
          <w:szCs w:val="24"/>
        </w:rPr>
      </w:pPr>
      <w:r w:rsidRPr="0073552C">
        <w:rPr>
          <w:rFonts w:ascii="Arial" w:hAnsi="Arial" w:cs="Arial"/>
          <w:szCs w:val="24"/>
        </w:rPr>
        <w:t>B Veiledning til de enkelte kolonner</w:t>
      </w:r>
    </w:p>
    <w:p w:rsidR="00071D13" w:rsidRPr="0073552C" w:rsidRDefault="00071D13" w:rsidP="00071D13">
      <w:pPr>
        <w:pStyle w:val="Overskrift2"/>
        <w:rPr>
          <w:rFonts w:cs="Arial"/>
          <w:sz w:val="18"/>
          <w:szCs w:val="18"/>
        </w:rPr>
      </w:pPr>
      <w:r w:rsidRPr="0073552C">
        <w:rPr>
          <w:rFonts w:cs="Arial"/>
          <w:sz w:val="18"/>
          <w:szCs w:val="18"/>
        </w:rPr>
        <w:t xml:space="preserve">Navn på verdipapir /Finansielle produkter </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 xml:space="preserve">Her føres selskapets navn, eller navnet på det finansielle produktet. Aksjer kan føres opp med navn på selskap eller kun </w:t>
      </w:r>
      <w:proofErr w:type="spellStart"/>
      <w:r w:rsidRPr="0073552C">
        <w:rPr>
          <w:rFonts w:ascii="Arial" w:eastAsia="Times New Roman" w:hAnsi="Arial" w:cs="Arial"/>
          <w:sz w:val="18"/>
          <w:szCs w:val="20"/>
          <w:lang w:eastAsia="nb-NO"/>
        </w:rPr>
        <w:t>tickerkoden</w:t>
      </w:r>
      <w:proofErr w:type="spellEnd"/>
      <w:r w:rsidRPr="0073552C">
        <w:rPr>
          <w:rFonts w:ascii="Arial" w:eastAsia="Times New Roman" w:hAnsi="Arial" w:cs="Arial"/>
          <w:sz w:val="18"/>
          <w:szCs w:val="20"/>
          <w:lang w:eastAsia="nb-NO"/>
        </w:rPr>
        <w:t xml:space="preserve"> dersom aksjen er en børsnotert aksje. Derivater kan føres opp med navn og/eller </w:t>
      </w:r>
      <w:proofErr w:type="spellStart"/>
      <w:r w:rsidRPr="0073552C">
        <w:rPr>
          <w:rFonts w:ascii="Arial" w:eastAsia="Times New Roman" w:hAnsi="Arial" w:cs="Arial"/>
          <w:sz w:val="18"/>
          <w:szCs w:val="20"/>
          <w:lang w:eastAsia="nb-NO"/>
        </w:rPr>
        <w:t>tickerkoder</w:t>
      </w:r>
      <w:proofErr w:type="spellEnd"/>
      <w:r w:rsidRPr="0073552C">
        <w:rPr>
          <w:rFonts w:ascii="Arial" w:eastAsia="Times New Roman" w:hAnsi="Arial" w:cs="Arial"/>
          <w:sz w:val="18"/>
          <w:szCs w:val="20"/>
          <w:lang w:eastAsia="nb-NO"/>
        </w:rPr>
        <w:t xml:space="preserve">. Kommer inntekten fra aksjer i utenlandsk selskap oppgis selskapstypeforkortelsen bak navnet, for eksempel Inc., Ltd., </w:t>
      </w:r>
      <w:proofErr w:type="spellStart"/>
      <w:r w:rsidRPr="0073552C">
        <w:rPr>
          <w:rFonts w:ascii="Arial" w:eastAsia="Times New Roman" w:hAnsi="Arial" w:cs="Arial"/>
          <w:sz w:val="18"/>
          <w:szCs w:val="20"/>
          <w:lang w:eastAsia="nb-NO"/>
        </w:rPr>
        <w:t>Corp</w:t>
      </w:r>
      <w:proofErr w:type="spellEnd"/>
      <w:r w:rsidRPr="0073552C">
        <w:rPr>
          <w:rFonts w:ascii="Arial" w:eastAsia="Times New Roman" w:hAnsi="Arial" w:cs="Arial"/>
          <w:sz w:val="18"/>
          <w:szCs w:val="20"/>
          <w:lang w:eastAsia="nb-NO"/>
        </w:rPr>
        <w:t>., AG., AB. osv.</w:t>
      </w:r>
    </w:p>
    <w:p w:rsidR="00071D13" w:rsidRPr="0073552C" w:rsidRDefault="00071D13" w:rsidP="00071D13">
      <w:pPr>
        <w:pStyle w:val="Overskrift2"/>
        <w:rPr>
          <w:rFonts w:cs="Arial"/>
          <w:sz w:val="18"/>
          <w:szCs w:val="18"/>
        </w:rPr>
      </w:pPr>
      <w:r w:rsidRPr="0073552C">
        <w:rPr>
          <w:rFonts w:cs="Arial"/>
          <w:sz w:val="18"/>
          <w:szCs w:val="18"/>
        </w:rPr>
        <w:t>Type verdipapir/Finansielt produkt</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 xml:space="preserve">Her føres forkortelsen for det finansielle produktet. Det er en egen </w:t>
      </w:r>
      <w:proofErr w:type="spellStart"/>
      <w:r w:rsidRPr="0073552C">
        <w:rPr>
          <w:rFonts w:ascii="Arial" w:eastAsia="Times New Roman" w:hAnsi="Arial" w:cs="Arial"/>
          <w:sz w:val="18"/>
          <w:szCs w:val="20"/>
          <w:lang w:eastAsia="nb-NO"/>
        </w:rPr>
        <w:t>nedtrekksliste</w:t>
      </w:r>
      <w:proofErr w:type="spellEnd"/>
      <w:r w:rsidRPr="0073552C">
        <w:rPr>
          <w:rFonts w:ascii="Arial" w:eastAsia="Times New Roman" w:hAnsi="Arial" w:cs="Arial"/>
          <w:sz w:val="18"/>
          <w:szCs w:val="20"/>
          <w:lang w:eastAsia="nb-NO"/>
        </w:rPr>
        <w:t xml:space="preserve"> som enkelt lar deg velge det som passer. Dersom du ikke finner noen forhåndsdefinerte forkortelser som passer, velger du "AVP", som står for "Andre verdipapirer". </w:t>
      </w:r>
    </w:p>
    <w:p w:rsidR="00071D13" w:rsidRPr="0073552C" w:rsidRDefault="00071D13" w:rsidP="00071D13">
      <w:pPr>
        <w:pStyle w:val="Overskrift2"/>
        <w:rPr>
          <w:rFonts w:cs="Arial"/>
          <w:sz w:val="18"/>
          <w:szCs w:val="18"/>
        </w:rPr>
      </w:pPr>
      <w:r w:rsidRPr="0073552C">
        <w:rPr>
          <w:rFonts w:cs="Arial"/>
          <w:sz w:val="18"/>
          <w:szCs w:val="18"/>
        </w:rPr>
        <w:t>ISIN-nummer</w:t>
      </w:r>
    </w:p>
    <w:p w:rsidR="00071D13"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 xml:space="preserve">Her føres ISIN-nummeret for verdipapiret du har realisert eller mottatt utbytte fra dersom dette finnes. ISIN-nummeret kan du for eksempel finne på sluttseddel fra kontofører, eller i </w:t>
      </w:r>
      <w:proofErr w:type="spellStart"/>
      <w:r w:rsidRPr="0073552C">
        <w:rPr>
          <w:rFonts w:ascii="Arial" w:eastAsia="Times New Roman" w:hAnsi="Arial" w:cs="Arial"/>
          <w:sz w:val="18"/>
          <w:szCs w:val="20"/>
          <w:lang w:eastAsia="nb-NO"/>
        </w:rPr>
        <w:t>aksjehandelsystemet</w:t>
      </w:r>
      <w:proofErr w:type="spellEnd"/>
      <w:r w:rsidRPr="0073552C">
        <w:rPr>
          <w:rFonts w:ascii="Arial" w:eastAsia="Times New Roman" w:hAnsi="Arial" w:cs="Arial"/>
          <w:sz w:val="18"/>
          <w:szCs w:val="20"/>
          <w:lang w:eastAsia="nb-NO"/>
        </w:rPr>
        <w:t xml:space="preserve"> eller på børsens hjemmeside på internett.</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p>
    <w:p w:rsidR="00071D13" w:rsidRPr="0073552C" w:rsidRDefault="00071D13" w:rsidP="00071D13">
      <w:pPr>
        <w:pStyle w:val="Overskrift2"/>
        <w:rPr>
          <w:rFonts w:cs="Arial"/>
          <w:sz w:val="18"/>
          <w:szCs w:val="18"/>
        </w:rPr>
      </w:pPr>
      <w:r w:rsidRPr="0073552C">
        <w:rPr>
          <w:rFonts w:cs="Arial"/>
          <w:sz w:val="18"/>
          <w:szCs w:val="18"/>
        </w:rPr>
        <w:lastRenderedPageBreak/>
        <w:t>Hjemmehørende (land)</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For mottatt utbytte eller ved realisasjon av aksjer skal det oppgis i hvilket land selskapet er hjemmehørende. Dette er normalt der selskapets ledelse og drift utøves, både formelt og reelt, men enkelte lands internrett</w:t>
      </w:r>
      <w:r>
        <w:rPr>
          <w:rFonts w:ascii="Arial" w:eastAsia="Times New Roman" w:hAnsi="Arial" w:cs="Arial"/>
          <w:sz w:val="18"/>
          <w:szCs w:val="20"/>
          <w:lang w:eastAsia="nb-NO"/>
        </w:rPr>
        <w:t xml:space="preserve">/skatteavtale </w:t>
      </w:r>
      <w:r w:rsidRPr="0073552C">
        <w:rPr>
          <w:rFonts w:ascii="Arial" w:eastAsia="Times New Roman" w:hAnsi="Arial" w:cs="Arial"/>
          <w:sz w:val="18"/>
          <w:szCs w:val="20"/>
          <w:lang w:eastAsia="nb-NO"/>
        </w:rPr>
        <w:t>kan ha andre kriterier for å bli ansett som hjemmehørende der.</w:t>
      </w:r>
    </w:p>
    <w:p w:rsidR="00071D13" w:rsidRPr="0073552C" w:rsidRDefault="00071D13" w:rsidP="00071D13">
      <w:pPr>
        <w:pStyle w:val="Overskrift2"/>
        <w:rPr>
          <w:rFonts w:cs="Arial"/>
          <w:sz w:val="18"/>
          <w:szCs w:val="18"/>
        </w:rPr>
      </w:pPr>
      <w:r w:rsidRPr="0073552C">
        <w:rPr>
          <w:rFonts w:cs="Arial"/>
          <w:sz w:val="18"/>
          <w:szCs w:val="18"/>
        </w:rPr>
        <w:t>Landkode</w:t>
      </w:r>
    </w:p>
    <w:p w:rsidR="00071D13" w:rsidRPr="0073552C" w:rsidRDefault="00071D13" w:rsidP="00071D13">
      <w:pPr>
        <w:numPr>
          <w:ilvl w:val="12"/>
          <w:numId w:val="0"/>
        </w:numPr>
        <w:spacing w:after="0" w:line="240" w:lineRule="auto"/>
        <w:rPr>
          <w:rFonts w:ascii="Arial" w:eastAsia="Times New Roman" w:hAnsi="Arial" w:cs="Arial"/>
          <w:sz w:val="18"/>
          <w:szCs w:val="20"/>
          <w:lang w:eastAsia="nb-NO"/>
        </w:rPr>
      </w:pPr>
      <w:r w:rsidRPr="0073552C">
        <w:rPr>
          <w:rFonts w:ascii="Arial" w:eastAsia="Times New Roman" w:hAnsi="Arial" w:cs="Arial"/>
          <w:sz w:val="18"/>
          <w:szCs w:val="20"/>
          <w:lang w:eastAsia="nb-NO"/>
        </w:rPr>
        <w:t>Dette kommer automatisk opp etter at hjemmehørende landet er fylt ut.</w:t>
      </w:r>
    </w:p>
    <w:p w:rsidR="00071D13" w:rsidRPr="0073552C" w:rsidRDefault="00071D13" w:rsidP="00071D13">
      <w:pPr>
        <w:pStyle w:val="Overskrift2"/>
        <w:rPr>
          <w:rFonts w:cs="Arial"/>
          <w:sz w:val="18"/>
          <w:szCs w:val="18"/>
        </w:rPr>
      </w:pPr>
      <w:r w:rsidRPr="0073552C">
        <w:rPr>
          <w:rFonts w:cs="Arial"/>
          <w:sz w:val="18"/>
          <w:szCs w:val="18"/>
        </w:rPr>
        <w:t>IB (antall)</w:t>
      </w:r>
    </w:p>
    <w:p w:rsidR="00071D13" w:rsidRPr="0073552C" w:rsidRDefault="00071D13" w:rsidP="00071D13">
      <w:pPr>
        <w:rPr>
          <w:rFonts w:ascii="Arial" w:eastAsia="Times New Roman" w:hAnsi="Arial" w:cs="Arial"/>
          <w:color w:val="000000"/>
          <w:lang w:eastAsia="nb-NO"/>
        </w:rPr>
      </w:pPr>
      <w:r w:rsidRPr="0073552C">
        <w:rPr>
          <w:rFonts w:ascii="Arial" w:eastAsia="Times New Roman" w:hAnsi="Arial" w:cs="Arial"/>
          <w:sz w:val="18"/>
          <w:szCs w:val="20"/>
          <w:lang w:eastAsia="nb-NO"/>
        </w:rPr>
        <w:t>Her føres antall aksjer eller andeler ved inngangen til inntektsåret.</w:t>
      </w:r>
    </w:p>
    <w:p w:rsidR="00071D13" w:rsidRPr="0073552C" w:rsidRDefault="00071D13" w:rsidP="00071D13">
      <w:pPr>
        <w:pStyle w:val="Overskrift2"/>
        <w:rPr>
          <w:rFonts w:cs="Arial"/>
          <w:sz w:val="18"/>
          <w:szCs w:val="18"/>
        </w:rPr>
      </w:pPr>
      <w:r w:rsidRPr="0073552C">
        <w:rPr>
          <w:rFonts w:cs="Arial"/>
          <w:sz w:val="18"/>
          <w:szCs w:val="18"/>
        </w:rPr>
        <w:t>UB (antall)</w:t>
      </w:r>
    </w:p>
    <w:p w:rsidR="00071D13" w:rsidRPr="0073552C" w:rsidRDefault="00071D13" w:rsidP="00071D13">
      <w:pPr>
        <w:rPr>
          <w:rFonts w:ascii="Arial" w:eastAsia="Times New Roman" w:hAnsi="Arial" w:cs="Arial"/>
          <w:sz w:val="18"/>
          <w:szCs w:val="20"/>
          <w:lang w:eastAsia="nb-NO"/>
        </w:rPr>
      </w:pPr>
      <w:r w:rsidRPr="0073552C">
        <w:rPr>
          <w:rFonts w:ascii="Arial" w:eastAsia="Times New Roman" w:hAnsi="Arial" w:cs="Arial"/>
          <w:sz w:val="18"/>
          <w:szCs w:val="20"/>
          <w:lang w:eastAsia="nb-NO"/>
        </w:rPr>
        <w:t>Her føres antall aksjer eller andeler ved utgangen av inntektsåret.</w:t>
      </w:r>
    </w:p>
    <w:p w:rsidR="00071D13" w:rsidRPr="0073552C" w:rsidRDefault="00071D13" w:rsidP="00071D13">
      <w:pPr>
        <w:pStyle w:val="Overskrift2"/>
        <w:rPr>
          <w:rFonts w:cs="Arial"/>
          <w:sz w:val="18"/>
          <w:szCs w:val="18"/>
        </w:rPr>
      </w:pPr>
      <w:r w:rsidRPr="0073552C">
        <w:rPr>
          <w:rFonts w:cs="Arial"/>
          <w:sz w:val="18"/>
          <w:szCs w:val="18"/>
        </w:rPr>
        <w:t>Gevinst/tap innenfor fritaksmetoden</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Her føres samlet gevinst eller tap for det respektive finansielle produkt som anses å være omfattet av fritaksmetoden. Det skal føres en linje for hvert selskap/finansielt produkt. Selskapet er ikke pliktig til å føre slike skattefrie beløp i denne kolonnen. Oppgis det her inntekter fra verdipapirfond er det kun aksjeinntektsdelen som skal føres i kolonnen her. Renteinntektsdelen fra verdipapirfondsandeler føres i kolonnen "Gevinst/tap utenfor fritaksmetoden".</w:t>
      </w:r>
    </w:p>
    <w:p w:rsidR="00071D13" w:rsidRPr="0073552C" w:rsidRDefault="00071D13" w:rsidP="00071D13">
      <w:pPr>
        <w:pStyle w:val="Overskrift2"/>
        <w:rPr>
          <w:rFonts w:cs="Arial"/>
          <w:sz w:val="18"/>
          <w:szCs w:val="18"/>
        </w:rPr>
      </w:pPr>
      <w:r w:rsidRPr="0073552C">
        <w:rPr>
          <w:rFonts w:cs="Arial"/>
          <w:sz w:val="18"/>
          <w:szCs w:val="18"/>
        </w:rPr>
        <w:t xml:space="preserve">Gevinst/tap utenfor fritaksmetoden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Her skal samlet gevinst eller tap for det respektive finansielle produkt som faller utenfor fritaksmetoden føres. Det skal føres en linje for hvert selskap/finansielt produkt.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i/>
          <w:color w:val="auto"/>
          <w:sz w:val="18"/>
          <w:szCs w:val="20"/>
        </w:rPr>
      </w:pPr>
      <w:r w:rsidRPr="0073552C">
        <w:rPr>
          <w:rFonts w:ascii="Arial" w:hAnsi="Arial" w:cs="Arial"/>
          <w:i/>
          <w:color w:val="auto"/>
          <w:sz w:val="18"/>
          <w:szCs w:val="20"/>
        </w:rPr>
        <w:t xml:space="preserve">Eksempel: </w:t>
      </w:r>
    </w:p>
    <w:p w:rsidR="00071D13" w:rsidRPr="0073552C" w:rsidRDefault="00071D13" w:rsidP="00071D13">
      <w:pPr>
        <w:pStyle w:val="Default"/>
        <w:rPr>
          <w:rFonts w:ascii="Arial" w:hAnsi="Arial" w:cs="Arial"/>
          <w:i/>
          <w:color w:val="auto"/>
          <w:sz w:val="18"/>
          <w:szCs w:val="20"/>
        </w:rPr>
      </w:pPr>
      <w:r w:rsidRPr="0073552C">
        <w:rPr>
          <w:rFonts w:ascii="Arial" w:hAnsi="Arial" w:cs="Arial"/>
          <w:i/>
          <w:color w:val="auto"/>
          <w:sz w:val="18"/>
          <w:szCs w:val="20"/>
        </w:rPr>
        <w:t>Selskapet har foretatt 20 salg på forskjellige tidspunkt innenfor inntektsåret i ett utenlandsk selskap som er registrert på Oslo Børs. Selskapet har også foretatt 10 salg av derivatet ETN BEAR GULL x3</w:t>
      </w:r>
      <w:r>
        <w:rPr>
          <w:rFonts w:ascii="Arial" w:hAnsi="Arial" w:cs="Arial"/>
          <w:i/>
          <w:color w:val="auto"/>
          <w:sz w:val="18"/>
          <w:szCs w:val="20"/>
        </w:rPr>
        <w:t xml:space="preserve"> </w:t>
      </w:r>
      <w:r w:rsidRPr="0073552C">
        <w:rPr>
          <w:rFonts w:ascii="Arial" w:hAnsi="Arial" w:cs="Arial"/>
          <w:i/>
          <w:color w:val="auto"/>
          <w:sz w:val="18"/>
          <w:szCs w:val="20"/>
        </w:rPr>
        <w:t>på forskjellige tidspunkt innenfor inntektsåret.  Noen salg har gitt gevinst og andre tap.</w:t>
      </w:r>
    </w:p>
    <w:p w:rsidR="00071D13" w:rsidRPr="0073552C" w:rsidRDefault="00071D13" w:rsidP="00071D13">
      <w:pPr>
        <w:pStyle w:val="Default"/>
        <w:rPr>
          <w:rFonts w:ascii="Arial" w:hAnsi="Arial" w:cs="Arial"/>
          <w:i/>
          <w:color w:val="auto"/>
          <w:sz w:val="18"/>
          <w:szCs w:val="20"/>
        </w:rPr>
      </w:pPr>
      <w:r w:rsidRPr="0073552C">
        <w:rPr>
          <w:rFonts w:ascii="Arial" w:hAnsi="Arial" w:cs="Arial"/>
          <w:i/>
          <w:color w:val="auto"/>
          <w:sz w:val="18"/>
          <w:szCs w:val="20"/>
        </w:rPr>
        <w:lastRenderedPageBreak/>
        <w:t xml:space="preserve">For aksjesalgene føres sum netto gevinst/tap samlet for alle 20 salgene på en linje. På samme måte føres netto gevinst/tap for alle derivatsalgene i derivatet ETN BEAR GULL x3 samlet på en egen linje. Sum skattepliktig gevinst/fradragsberettiget tap for aksjesalgene og derivatsalgene føres i eget sum felt. Beløpet inngår i sum gevinst/tap som skal videreføres til næringsoppgave 1 post 0414, eventuelt næringsoppgave 2 postene 0650/0850, eller post 6100/6350 i næringsoppgave </w:t>
      </w:r>
      <w:r>
        <w:rPr>
          <w:rFonts w:ascii="Arial" w:hAnsi="Arial" w:cs="Arial"/>
          <w:i/>
          <w:color w:val="auto"/>
          <w:sz w:val="18"/>
          <w:szCs w:val="20"/>
        </w:rPr>
        <w:t>4 eller næringsoppgave 6 postene 7100/7350 eller næringsoppgave 7 postene 8100/8350</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Oppgis det inntekt fra verdipapirfond er det kun den skattepliktige delen som skal føres her. </w:t>
      </w:r>
    </w:p>
    <w:p w:rsidR="00071D13" w:rsidRPr="0073552C" w:rsidRDefault="00071D13" w:rsidP="00071D13">
      <w:pPr>
        <w:pStyle w:val="Overskrift2"/>
        <w:rPr>
          <w:rFonts w:cs="Arial"/>
          <w:sz w:val="18"/>
          <w:szCs w:val="18"/>
        </w:rPr>
      </w:pPr>
      <w:r w:rsidRPr="0073552C">
        <w:rPr>
          <w:rFonts w:cs="Arial"/>
          <w:sz w:val="18"/>
          <w:szCs w:val="18"/>
        </w:rPr>
        <w:t>Utbytte/utdeling innenfor fritaksmetoden</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Her føres samlet mottatt utbytte/utdeling fra selskaper som anses å være omfattet av fritaksmetoden. Det må føres en linje for samlet utbytte fra hvert selskap. Selskapet er ikke pliktig til å føre slike skattefrie beløp i denne kolonnen. I næringsoppgaven føres skattefritt utbytte på ordinær måte. </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Renteinntektsdelen fra verdipapirfondsandeler føres i kolonnen "Utbytte/utdeling utenfor fritaksmetoden". </w:t>
      </w:r>
    </w:p>
    <w:p w:rsidR="00071D13" w:rsidRPr="0073552C" w:rsidRDefault="00071D13" w:rsidP="00071D13">
      <w:pPr>
        <w:pStyle w:val="Overskrift2"/>
        <w:rPr>
          <w:rFonts w:cs="Arial"/>
          <w:sz w:val="18"/>
          <w:szCs w:val="18"/>
        </w:rPr>
      </w:pPr>
      <w:r w:rsidRPr="0073552C">
        <w:rPr>
          <w:rFonts w:cs="Arial"/>
          <w:sz w:val="18"/>
          <w:szCs w:val="18"/>
        </w:rPr>
        <w:t xml:space="preserve">Utbytte/utdeling utenfor fritaksmetoden </w:t>
      </w: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Her skal samlet mottatt utbytte/utdeling fra samme selskap i inntektsåret føres, også tillegg etter skatteloven § 16-30 femte ledd skal føres her. Det må føres en linje for samlet utbytte fra hvert selskap. Beløpet inngår i sum utbytte utenfor fritaksmetoden, og overføres til næringsoppgave 1 post</w:t>
      </w:r>
      <w:r w:rsidRPr="0073552C">
        <w:rPr>
          <w:rFonts w:ascii="Arial" w:hAnsi="Arial" w:cs="Arial"/>
          <w:i/>
          <w:color w:val="auto"/>
          <w:sz w:val="18"/>
          <w:szCs w:val="20"/>
        </w:rPr>
        <w:t xml:space="preserve"> </w:t>
      </w:r>
      <w:r w:rsidRPr="0073552C">
        <w:rPr>
          <w:rFonts w:ascii="Arial" w:hAnsi="Arial" w:cs="Arial"/>
          <w:color w:val="auto"/>
          <w:sz w:val="18"/>
          <w:szCs w:val="20"/>
        </w:rPr>
        <w:t xml:space="preserve">0411, eventuelt næringsoppgave 2 post 0652 som skattepliktig utbytte, eventuelt til </w:t>
      </w:r>
      <w:proofErr w:type="gramStart"/>
      <w:r w:rsidRPr="0073552C">
        <w:rPr>
          <w:rFonts w:ascii="Arial" w:hAnsi="Arial" w:cs="Arial"/>
          <w:color w:val="auto"/>
          <w:sz w:val="18"/>
          <w:szCs w:val="20"/>
        </w:rPr>
        <w:t>post  6105</w:t>
      </w:r>
      <w:proofErr w:type="gramEnd"/>
      <w:r w:rsidRPr="0073552C">
        <w:rPr>
          <w:rFonts w:ascii="Arial" w:hAnsi="Arial" w:cs="Arial"/>
          <w:color w:val="auto"/>
          <w:sz w:val="18"/>
          <w:szCs w:val="20"/>
        </w:rPr>
        <w:t xml:space="preserve"> i næringsoppgave 4</w:t>
      </w:r>
      <w:r>
        <w:rPr>
          <w:rFonts w:ascii="Arial" w:hAnsi="Arial" w:cs="Arial"/>
          <w:color w:val="auto"/>
          <w:sz w:val="18"/>
          <w:szCs w:val="20"/>
        </w:rPr>
        <w:t>, eller til næringsoppgave 6 post 7105 eller næringsoppgave 7 post 8105</w:t>
      </w:r>
    </w:p>
    <w:p w:rsidR="00071D13" w:rsidRPr="0073552C" w:rsidRDefault="00071D13" w:rsidP="00071D13">
      <w:pPr>
        <w:pStyle w:val="Default"/>
        <w:rPr>
          <w:rFonts w:ascii="Arial" w:hAnsi="Arial" w:cs="Arial"/>
          <w:color w:val="auto"/>
          <w:sz w:val="18"/>
          <w:szCs w:val="20"/>
        </w:rPr>
      </w:pPr>
    </w:p>
    <w:p w:rsidR="00071D13" w:rsidRPr="0073552C" w:rsidRDefault="00071D13" w:rsidP="00071D13">
      <w:pPr>
        <w:pStyle w:val="Default"/>
        <w:rPr>
          <w:rFonts w:ascii="Arial" w:hAnsi="Arial" w:cs="Arial"/>
          <w:color w:val="auto"/>
          <w:sz w:val="18"/>
          <w:szCs w:val="20"/>
        </w:rPr>
      </w:pPr>
      <w:r w:rsidRPr="0073552C">
        <w:rPr>
          <w:rFonts w:ascii="Arial" w:hAnsi="Arial" w:cs="Arial"/>
          <w:color w:val="auto"/>
          <w:sz w:val="18"/>
          <w:szCs w:val="20"/>
        </w:rPr>
        <w:t xml:space="preserve">Ved utdeling fra verdipapirfond føres skattepliktig renteinntektsandel også her. </w:t>
      </w:r>
    </w:p>
    <w:p w:rsidR="00071D13" w:rsidRPr="0073552C" w:rsidRDefault="00071D13" w:rsidP="00071D13">
      <w:pPr>
        <w:pStyle w:val="Default"/>
        <w:rPr>
          <w:rFonts w:ascii="Arial" w:hAnsi="Arial" w:cs="Arial"/>
          <w:color w:val="auto"/>
          <w:sz w:val="18"/>
          <w:szCs w:val="20"/>
        </w:rPr>
        <w:sectPr w:rsidR="00071D13" w:rsidRPr="0073552C" w:rsidSect="00614EF1">
          <w:type w:val="continuous"/>
          <w:pgSz w:w="11906" w:h="16838"/>
          <w:pgMar w:top="480" w:right="709" w:bottom="567" w:left="992" w:header="708" w:footer="352" w:gutter="0"/>
          <w:cols w:num="3" w:space="204"/>
        </w:sectPr>
      </w:pPr>
    </w:p>
    <w:p w:rsidR="00071D13" w:rsidRPr="00614EF1" w:rsidRDefault="00071D13" w:rsidP="00071D13">
      <w:pPr>
        <w:pStyle w:val="Default"/>
        <w:rPr>
          <w:rFonts w:cs="Times New Roman"/>
          <w:color w:val="auto"/>
          <w:sz w:val="18"/>
          <w:szCs w:val="20"/>
        </w:rPr>
      </w:pPr>
    </w:p>
    <w:p w:rsidR="00071D13" w:rsidRPr="00614EF1" w:rsidRDefault="00071D13" w:rsidP="00071D13">
      <w:pPr>
        <w:pStyle w:val="Default"/>
        <w:rPr>
          <w:rFonts w:cs="Times New Roman"/>
          <w:color w:val="auto"/>
          <w:sz w:val="18"/>
          <w:szCs w:val="20"/>
        </w:rPr>
      </w:pPr>
    </w:p>
    <w:p w:rsidR="00071D13" w:rsidRPr="00614EF1" w:rsidRDefault="00071D13" w:rsidP="00071D13">
      <w:pPr>
        <w:tabs>
          <w:tab w:val="left" w:pos="2730"/>
          <w:tab w:val="left" w:pos="7470"/>
        </w:tabs>
        <w:spacing w:after="0" w:line="240" w:lineRule="auto"/>
        <w:rPr>
          <w:rFonts w:ascii="Times New Roman" w:eastAsia="Times New Roman" w:hAnsi="Times New Roman" w:cs="Times New Roman"/>
          <w:color w:val="000000"/>
          <w:lang w:eastAsia="nb-NO"/>
        </w:rPr>
      </w:pPr>
    </w:p>
    <w:p w:rsidR="00071D13" w:rsidRPr="00614EF1" w:rsidRDefault="00071D13" w:rsidP="00071D13">
      <w:pPr>
        <w:rPr>
          <w:rFonts w:ascii="Times New Roman" w:eastAsia="Times New Roman" w:hAnsi="Times New Roman" w:cs="Times New Roman"/>
          <w:color w:val="000000"/>
          <w:lang w:eastAsia="nb-NO"/>
        </w:rPr>
      </w:pPr>
    </w:p>
    <w:p w:rsidR="00CE2845" w:rsidRDefault="00CE2845"/>
    <w:sectPr w:rsidR="00CE2845" w:rsidSect="002C77D4">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74" w:rsidRDefault="00336286">
      <w:pPr>
        <w:spacing w:after="0" w:line="240" w:lineRule="auto"/>
      </w:pPr>
      <w:r>
        <w:separator/>
      </w:r>
    </w:p>
  </w:endnote>
  <w:endnote w:type="continuationSeparator" w:id="0">
    <w:p w:rsidR="00BA6474" w:rsidRDefault="0033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lbk LT">
    <w:altName w:val="Bodoni MT"/>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OfficinaSans LT Bold">
    <w:altName w:val="Franklin Gothic Demi Cond"/>
    <w:charset w:val="00"/>
    <w:family w:val="auto"/>
    <w:pitch w:val="variable"/>
    <w:sig w:usb0="800000A7" w:usb1="00000040" w:usb2="00000000" w:usb3="00000000" w:csb0="00000009" w:csb1="00000000"/>
  </w:font>
  <w:font w:name="ITC Officina Sans Book">
    <w:altName w:val="Franklin Gothic Medium Cond"/>
    <w:charset w:val="00"/>
    <w:family w:val="auto"/>
    <w:pitch w:val="variable"/>
    <w:sig w:usb0="800000BF" w:usb1="4000204A" w:usb2="00000000" w:usb3="00000000" w:csb0="00000003" w:csb1="00000000"/>
  </w:font>
  <w:font w:name="ITCOfficinaSans LT Book">
    <w:altName w:val="Franklin Gothic Medium Cond"/>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071D1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C77D4" w:rsidRDefault="00FD507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071D13">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FD5078">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FD5078">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2C77D4" w:rsidRDefault="00FD5078">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FD5078">
          <w:pPr>
            <w:numPr>
              <w:ilvl w:val="12"/>
              <w:numId w:val="0"/>
            </w:numPr>
            <w:spacing w:line="180" w:lineRule="exact"/>
            <w:jc w:val="right"/>
            <w:rPr>
              <w:rFonts w:ascii="Arial" w:hAnsi="Arial"/>
              <w:sz w:val="16"/>
            </w:rPr>
          </w:pPr>
        </w:p>
      </w:tc>
    </w:tr>
  </w:tbl>
  <w:p w:rsidR="002C77D4" w:rsidRDefault="00FD507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071D13" w:rsidP="001977DA">
          <w:pPr>
            <w:numPr>
              <w:ilvl w:val="12"/>
              <w:numId w:val="0"/>
            </w:numPr>
            <w:spacing w:line="180" w:lineRule="exact"/>
            <w:ind w:right="360"/>
            <w:rPr>
              <w:rFonts w:ascii="NewCenturySchlbk LT" w:hAnsi="NewCenturySchlbk LT"/>
              <w:sz w:val="16"/>
            </w:rPr>
          </w:pPr>
          <w:r>
            <w:rPr>
              <w:rFonts w:ascii="NewCenturySchlbk LT" w:hAnsi="NewCenturySchlbk LT"/>
              <w:sz w:val="16"/>
            </w:rPr>
            <w:t>RF-1350B</w:t>
          </w:r>
        </w:p>
      </w:tc>
      <w:tc>
        <w:tcPr>
          <w:tcW w:w="3402" w:type="dxa"/>
          <w:tcBorders>
            <w:top w:val="nil"/>
            <w:left w:val="nil"/>
            <w:bottom w:val="nil"/>
            <w:right w:val="nil"/>
          </w:tcBorders>
        </w:tcPr>
        <w:p w:rsidR="002C77D4" w:rsidRDefault="00FD5078">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FD5078">
          <w:pPr>
            <w:numPr>
              <w:ilvl w:val="12"/>
              <w:numId w:val="0"/>
            </w:numPr>
            <w:spacing w:line="180" w:lineRule="exact"/>
            <w:jc w:val="right"/>
            <w:rPr>
              <w:rFonts w:ascii="Arial" w:hAnsi="Arial"/>
              <w:sz w:val="16"/>
            </w:rPr>
          </w:pPr>
        </w:p>
      </w:tc>
    </w:tr>
  </w:tbl>
  <w:p w:rsidR="002C77D4" w:rsidRDefault="00FD50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74" w:rsidRDefault="00336286">
      <w:pPr>
        <w:spacing w:after="0" w:line="240" w:lineRule="auto"/>
      </w:pPr>
      <w:r>
        <w:separator/>
      </w:r>
    </w:p>
  </w:footnote>
  <w:footnote w:type="continuationSeparator" w:id="0">
    <w:p w:rsidR="00BA6474" w:rsidRDefault="00336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2fx4fnXrlOhKeBxe/JMmHlBv0=" w:salt="rk5np+V5Nb10Sy/M/ot/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13"/>
    <w:rsid w:val="00071D13"/>
    <w:rsid w:val="00072087"/>
    <w:rsid w:val="00336286"/>
    <w:rsid w:val="0043386D"/>
    <w:rsid w:val="00533AE1"/>
    <w:rsid w:val="00572A5C"/>
    <w:rsid w:val="00783901"/>
    <w:rsid w:val="00A0112C"/>
    <w:rsid w:val="00BA6474"/>
    <w:rsid w:val="00C76E14"/>
    <w:rsid w:val="00CE2845"/>
    <w:rsid w:val="00ED0756"/>
    <w:rsid w:val="00FD50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13"/>
  </w:style>
  <w:style w:type="paragraph" w:styleId="Overskrift1">
    <w:name w:val="heading 1"/>
    <w:basedOn w:val="Normal"/>
    <w:next w:val="Normal"/>
    <w:link w:val="Overskrift1Tegn"/>
    <w:qFormat/>
    <w:rsid w:val="00ED0756"/>
    <w:pPr>
      <w:keepNext/>
      <w:keepLines/>
      <w:spacing w:after="240" w:line="300" w:lineRule="atLeast"/>
      <w:outlineLvl w:val="0"/>
    </w:pPr>
    <w:rPr>
      <w:rFonts w:eastAsiaTheme="majorEastAsia" w:cstheme="majorBidi"/>
      <w:b/>
      <w:bCs/>
      <w:sz w:val="24"/>
      <w:szCs w:val="28"/>
      <w:lang w:eastAsia="nb-NO"/>
    </w:rPr>
  </w:style>
  <w:style w:type="paragraph" w:styleId="Overskrift2">
    <w:name w:val="heading 2"/>
    <w:basedOn w:val="Normal"/>
    <w:next w:val="Normal"/>
    <w:link w:val="Overskrift2Tegn"/>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0756"/>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ED0756"/>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 w:type="paragraph" w:styleId="Bunntekst">
    <w:name w:val="footer"/>
    <w:basedOn w:val="Normal"/>
    <w:link w:val="BunntekstTegn"/>
    <w:rsid w:val="00071D13"/>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071D13"/>
    <w:rPr>
      <w:rFonts w:ascii="NewCenturySchlbk" w:eastAsia="Times New Roman" w:hAnsi="NewCenturySchlbk" w:cs="Times New Roman"/>
      <w:szCs w:val="20"/>
      <w:lang w:eastAsia="nb-NO"/>
    </w:rPr>
  </w:style>
  <w:style w:type="character" w:styleId="Sidetall">
    <w:name w:val="page number"/>
    <w:basedOn w:val="Standardskriftforavsnitt"/>
    <w:rsid w:val="00071D13"/>
  </w:style>
  <w:style w:type="table" w:styleId="Tabellrutenett">
    <w:name w:val="Table Grid"/>
    <w:basedOn w:val="Vanligtabell"/>
    <w:rsid w:val="00071D13"/>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rsid w:val="00071D13"/>
    <w:rPr>
      <w:color w:val="0000FF"/>
      <w:u w:val="single"/>
    </w:rPr>
  </w:style>
  <w:style w:type="paragraph" w:customStyle="1" w:styleId="Default">
    <w:name w:val="Default"/>
    <w:rsid w:val="00071D13"/>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styleId="Bobletekst">
    <w:name w:val="Balloon Text"/>
    <w:basedOn w:val="Normal"/>
    <w:link w:val="BobletekstTegn"/>
    <w:uiPriority w:val="99"/>
    <w:semiHidden/>
    <w:unhideWhenUsed/>
    <w:rsid w:val="00C76E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E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13"/>
  </w:style>
  <w:style w:type="paragraph" w:styleId="Overskrift1">
    <w:name w:val="heading 1"/>
    <w:basedOn w:val="Normal"/>
    <w:next w:val="Normal"/>
    <w:link w:val="Overskrift1Tegn"/>
    <w:qFormat/>
    <w:rsid w:val="00ED0756"/>
    <w:pPr>
      <w:keepNext/>
      <w:keepLines/>
      <w:spacing w:after="240" w:line="300" w:lineRule="atLeast"/>
      <w:outlineLvl w:val="0"/>
    </w:pPr>
    <w:rPr>
      <w:rFonts w:eastAsiaTheme="majorEastAsia" w:cstheme="majorBidi"/>
      <w:b/>
      <w:bCs/>
      <w:sz w:val="24"/>
      <w:szCs w:val="28"/>
      <w:lang w:eastAsia="nb-NO"/>
    </w:rPr>
  </w:style>
  <w:style w:type="paragraph" w:styleId="Overskrift2">
    <w:name w:val="heading 2"/>
    <w:basedOn w:val="Normal"/>
    <w:next w:val="Normal"/>
    <w:link w:val="Overskrift2Tegn"/>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0756"/>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ED0756"/>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 w:type="paragraph" w:styleId="Bunntekst">
    <w:name w:val="footer"/>
    <w:basedOn w:val="Normal"/>
    <w:link w:val="BunntekstTegn"/>
    <w:rsid w:val="00071D13"/>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071D13"/>
    <w:rPr>
      <w:rFonts w:ascii="NewCenturySchlbk" w:eastAsia="Times New Roman" w:hAnsi="NewCenturySchlbk" w:cs="Times New Roman"/>
      <w:szCs w:val="20"/>
      <w:lang w:eastAsia="nb-NO"/>
    </w:rPr>
  </w:style>
  <w:style w:type="character" w:styleId="Sidetall">
    <w:name w:val="page number"/>
    <w:basedOn w:val="Standardskriftforavsnitt"/>
    <w:rsid w:val="00071D13"/>
  </w:style>
  <w:style w:type="table" w:styleId="Tabellrutenett">
    <w:name w:val="Table Grid"/>
    <w:basedOn w:val="Vanligtabell"/>
    <w:rsid w:val="00071D13"/>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rsid w:val="00071D13"/>
    <w:rPr>
      <w:color w:val="0000FF"/>
      <w:u w:val="single"/>
    </w:rPr>
  </w:style>
  <w:style w:type="paragraph" w:customStyle="1" w:styleId="Default">
    <w:name w:val="Default"/>
    <w:rsid w:val="00071D13"/>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styleId="Bobletekst">
    <w:name w:val="Balloon Text"/>
    <w:basedOn w:val="Normal"/>
    <w:link w:val="BobletekstTegn"/>
    <w:uiPriority w:val="99"/>
    <w:semiHidden/>
    <w:unhideWhenUsed/>
    <w:rsid w:val="00C76E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1499</Words>
  <Characters>9265</Characters>
  <Application>Microsoft Office Word</Application>
  <DocSecurity>8</DocSecurity>
  <Lines>356</Lines>
  <Paragraphs>84</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Herland-Lauvli, Carl-Håkon</dc:creator>
  <cp:lastModifiedBy>Ødegård, Geir</cp:lastModifiedBy>
  <cp:revision>4</cp:revision>
  <dcterms:created xsi:type="dcterms:W3CDTF">2021-01-07T11:36:00Z</dcterms:created>
  <dcterms:modified xsi:type="dcterms:W3CDTF">2021-01-07T11:37:00Z</dcterms:modified>
</cp:coreProperties>
</file>