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tblBorders>
          <w:bottom w:val="single" w:sz="12" w:space="0" w:color="auto"/>
        </w:tblBorders>
        <w:tblLayout w:type="fixed"/>
        <w:tblCellMar>
          <w:left w:w="71" w:type="dxa"/>
          <w:right w:w="71" w:type="dxa"/>
        </w:tblCellMar>
        <w:tblLook w:val="0000" w:firstRow="0" w:lastRow="0" w:firstColumn="0" w:lastColumn="0" w:noHBand="0" w:noVBand="0"/>
      </w:tblPr>
      <w:tblGrid>
        <w:gridCol w:w="2056"/>
        <w:gridCol w:w="8363"/>
      </w:tblGrid>
      <w:tr w:rsidR="002C6A66" w:rsidTr="00CE4D8C">
        <w:trPr>
          <w:trHeight w:hRule="exact" w:val="1569"/>
        </w:trPr>
        <w:tc>
          <w:tcPr>
            <w:tcW w:w="2056" w:type="dxa"/>
            <w:tcBorders>
              <w:top w:val="nil"/>
              <w:left w:val="nil"/>
              <w:bottom w:val="nil"/>
              <w:right w:val="nil"/>
            </w:tcBorders>
          </w:tcPr>
          <w:bookmarkStart w:id="0" w:name="_GoBack"/>
          <w:bookmarkEnd w:id="0"/>
          <w:p w:rsidR="002C6A66" w:rsidRPr="009A1650" w:rsidRDefault="00202351" w:rsidP="00AF5274">
            <w:pPr>
              <w:pStyle w:val="Overskrift3"/>
              <w:jc w:val="center"/>
              <w:rPr>
                <w:rFonts w:ascii="ITCOfficinaSans LT Bold" w:hAnsi="ITCOfficinaSans LT Bold"/>
                <w:b w:val="0"/>
              </w:rPr>
            </w:pPr>
            <w:r>
              <w:rPr>
                <w:rFonts w:ascii="ITCOfficinaSans LT Bold" w:hAnsi="ITCOfficinaSans LT Bold"/>
                <w:b w:val="0"/>
                <w:noProof/>
              </w:rPr>
              <mc:AlternateContent>
                <mc:Choice Requires="wps">
                  <w:drawing>
                    <wp:anchor distT="0" distB="0" distL="114300" distR="114300" simplePos="0" relativeHeight="251656192" behindDoc="0" locked="0" layoutInCell="0" allowOverlap="1" wp14:anchorId="01F7FAC5" wp14:editId="215BFB02">
                      <wp:simplePos x="0" y="0"/>
                      <wp:positionH relativeFrom="column">
                        <wp:posOffset>-215900</wp:posOffset>
                      </wp:positionH>
                      <wp:positionV relativeFrom="paragraph">
                        <wp:posOffset>-119380</wp:posOffset>
                      </wp:positionV>
                      <wp:extent cx="442595" cy="29527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95275"/>
                              </a:xfrm>
                              <a:custGeom>
                                <a:avLst/>
                                <a:gdLst>
                                  <a:gd name="T0" fmla="*/ 9813 w 20000"/>
                                  <a:gd name="T1" fmla="*/ 3871 h 20000"/>
                                  <a:gd name="T2" fmla="*/ 9871 w 20000"/>
                                  <a:gd name="T3" fmla="*/ 43 h 20000"/>
                                  <a:gd name="T4" fmla="*/ 10502 w 20000"/>
                                  <a:gd name="T5" fmla="*/ 0 h 20000"/>
                                  <a:gd name="T6" fmla="*/ 11220 w 20000"/>
                                  <a:gd name="T7" fmla="*/ 43 h 20000"/>
                                  <a:gd name="T8" fmla="*/ 11966 w 20000"/>
                                  <a:gd name="T9" fmla="*/ 129 h 20000"/>
                                  <a:gd name="T10" fmla="*/ 12798 w 20000"/>
                                  <a:gd name="T11" fmla="*/ 344 h 20000"/>
                                  <a:gd name="T12" fmla="*/ 13515 w 20000"/>
                                  <a:gd name="T13" fmla="*/ 473 h 20000"/>
                                  <a:gd name="T14" fmla="*/ 14089 w 20000"/>
                                  <a:gd name="T15" fmla="*/ 688 h 20000"/>
                                  <a:gd name="T16" fmla="*/ 14605 w 20000"/>
                                  <a:gd name="T17" fmla="*/ 903 h 20000"/>
                                  <a:gd name="T18" fmla="*/ 14720 w 20000"/>
                                  <a:gd name="T19" fmla="*/ 1118 h 20000"/>
                                  <a:gd name="T20" fmla="*/ 10072 w 20000"/>
                                  <a:gd name="T21" fmla="*/ 8000 h 20000"/>
                                  <a:gd name="T22" fmla="*/ 10072 w 20000"/>
                                  <a:gd name="T23" fmla="*/ 11527 h 20000"/>
                                  <a:gd name="T24" fmla="*/ 14634 w 20000"/>
                                  <a:gd name="T25" fmla="*/ 4645 h 20000"/>
                                  <a:gd name="T26" fmla="*/ 15323 w 20000"/>
                                  <a:gd name="T27" fmla="*/ 5075 h 20000"/>
                                  <a:gd name="T28" fmla="*/ 16126 w 20000"/>
                                  <a:gd name="T29" fmla="*/ 5505 h 20000"/>
                                  <a:gd name="T30" fmla="*/ 17016 w 20000"/>
                                  <a:gd name="T31" fmla="*/ 6022 h 20000"/>
                                  <a:gd name="T32" fmla="*/ 17733 w 20000"/>
                                  <a:gd name="T33" fmla="*/ 6839 h 20000"/>
                                  <a:gd name="T34" fmla="*/ 18594 w 20000"/>
                                  <a:gd name="T35" fmla="*/ 7613 h 20000"/>
                                  <a:gd name="T36" fmla="*/ 19110 w 20000"/>
                                  <a:gd name="T37" fmla="*/ 8516 h 20000"/>
                                  <a:gd name="T38" fmla="*/ 19455 w 20000"/>
                                  <a:gd name="T39" fmla="*/ 9419 h 20000"/>
                                  <a:gd name="T40" fmla="*/ 19857 w 20000"/>
                                  <a:gd name="T41" fmla="*/ 10452 h 20000"/>
                                  <a:gd name="T42" fmla="*/ 19971 w 20000"/>
                                  <a:gd name="T43" fmla="*/ 11828 h 20000"/>
                                  <a:gd name="T44" fmla="*/ 19914 w 20000"/>
                                  <a:gd name="T45" fmla="*/ 12602 h 20000"/>
                                  <a:gd name="T46" fmla="*/ 19770 w 20000"/>
                                  <a:gd name="T47" fmla="*/ 13462 h 20000"/>
                                  <a:gd name="T48" fmla="*/ 19455 w 20000"/>
                                  <a:gd name="T49" fmla="*/ 14452 h 20000"/>
                                  <a:gd name="T50" fmla="*/ 18967 w 20000"/>
                                  <a:gd name="T51" fmla="*/ 15441 h 20000"/>
                                  <a:gd name="T52" fmla="*/ 17791 w 20000"/>
                                  <a:gd name="T53" fmla="*/ 16946 h 20000"/>
                                  <a:gd name="T54" fmla="*/ 16872 w 20000"/>
                                  <a:gd name="T55" fmla="*/ 17892 h 20000"/>
                                  <a:gd name="T56" fmla="*/ 16011 w 20000"/>
                                  <a:gd name="T57" fmla="*/ 18366 h 20000"/>
                                  <a:gd name="T58" fmla="*/ 15122 w 20000"/>
                                  <a:gd name="T59" fmla="*/ 18882 h 20000"/>
                                  <a:gd name="T60" fmla="*/ 14204 w 20000"/>
                                  <a:gd name="T61" fmla="*/ 19226 h 20000"/>
                                  <a:gd name="T62" fmla="*/ 13458 w 20000"/>
                                  <a:gd name="T63" fmla="*/ 19484 h 20000"/>
                                  <a:gd name="T64" fmla="*/ 12224 w 20000"/>
                                  <a:gd name="T65" fmla="*/ 19699 h 20000"/>
                                  <a:gd name="T66" fmla="*/ 10846 w 20000"/>
                                  <a:gd name="T67" fmla="*/ 19957 h 20000"/>
                                  <a:gd name="T68" fmla="*/ 9412 w 20000"/>
                                  <a:gd name="T69" fmla="*/ 19957 h 20000"/>
                                  <a:gd name="T70" fmla="*/ 7575 w 20000"/>
                                  <a:gd name="T71" fmla="*/ 19699 h 20000"/>
                                  <a:gd name="T72" fmla="*/ 5739 w 20000"/>
                                  <a:gd name="T73" fmla="*/ 19312 h 20000"/>
                                  <a:gd name="T74" fmla="*/ 4189 w 20000"/>
                                  <a:gd name="T75" fmla="*/ 18452 h 20000"/>
                                  <a:gd name="T76" fmla="*/ 2898 w 20000"/>
                                  <a:gd name="T77" fmla="*/ 17634 h 20000"/>
                                  <a:gd name="T78" fmla="*/ 1951 w 20000"/>
                                  <a:gd name="T79" fmla="*/ 16774 h 20000"/>
                                  <a:gd name="T80" fmla="*/ 1263 w 20000"/>
                                  <a:gd name="T81" fmla="*/ 15871 h 20000"/>
                                  <a:gd name="T82" fmla="*/ 775 w 20000"/>
                                  <a:gd name="T83" fmla="*/ 15183 h 20000"/>
                                  <a:gd name="T84" fmla="*/ 316 w 20000"/>
                                  <a:gd name="T85" fmla="*/ 14108 h 20000"/>
                                  <a:gd name="T86" fmla="*/ 86 w 20000"/>
                                  <a:gd name="T87" fmla="*/ 13075 h 20000"/>
                                  <a:gd name="T88" fmla="*/ 0 w 20000"/>
                                  <a:gd name="T89" fmla="*/ 12344 h 20000"/>
                                  <a:gd name="T90" fmla="*/ 0 w 20000"/>
                                  <a:gd name="T91" fmla="*/ 11699 h 20000"/>
                                  <a:gd name="T92" fmla="*/ 86 w 20000"/>
                                  <a:gd name="T93" fmla="*/ 10796 h 20000"/>
                                  <a:gd name="T94" fmla="*/ 488 w 20000"/>
                                  <a:gd name="T95" fmla="*/ 9376 h 20000"/>
                                  <a:gd name="T96" fmla="*/ 918 w 20000"/>
                                  <a:gd name="T97" fmla="*/ 8473 h 20000"/>
                                  <a:gd name="T98" fmla="*/ 1607 w 20000"/>
                                  <a:gd name="T99" fmla="*/ 7570 h 20000"/>
                                  <a:gd name="T100" fmla="*/ 2267 w 20000"/>
                                  <a:gd name="T101" fmla="*/ 6753 h 20000"/>
                                  <a:gd name="T102" fmla="*/ 3242 w 20000"/>
                                  <a:gd name="T103" fmla="*/ 5978 h 20000"/>
                                  <a:gd name="T104" fmla="*/ 4419 w 20000"/>
                                  <a:gd name="T105" fmla="*/ 5247 h 20000"/>
                                  <a:gd name="T106" fmla="*/ 5395 w 20000"/>
                                  <a:gd name="T107" fmla="*/ 4774 h 20000"/>
                                  <a:gd name="T108" fmla="*/ 6428 w 20000"/>
                                  <a:gd name="T109" fmla="*/ 4387 h 20000"/>
                                  <a:gd name="T110" fmla="*/ 7461 w 20000"/>
                                  <a:gd name="T111" fmla="*/ 4086 h 20000"/>
                                  <a:gd name="T112" fmla="*/ 8580 w 20000"/>
                                  <a:gd name="T113" fmla="*/ 3914 h 20000"/>
                                  <a:gd name="T114" fmla="*/ 9383 w 20000"/>
                                  <a:gd name="T115" fmla="*/ 3914 h 20000"/>
                                  <a:gd name="T116" fmla="*/ 9813 w 20000"/>
                                  <a:gd name="T117" fmla="*/ 387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00" h="20000">
                                    <a:moveTo>
                                      <a:pt x="9813" y="3871"/>
                                    </a:moveTo>
                                    <a:lnTo>
                                      <a:pt x="9871" y="43"/>
                                    </a:lnTo>
                                    <a:lnTo>
                                      <a:pt x="10502" y="0"/>
                                    </a:lnTo>
                                    <a:lnTo>
                                      <a:pt x="11220" y="43"/>
                                    </a:lnTo>
                                    <a:lnTo>
                                      <a:pt x="11966" y="129"/>
                                    </a:lnTo>
                                    <a:lnTo>
                                      <a:pt x="12798" y="344"/>
                                    </a:lnTo>
                                    <a:lnTo>
                                      <a:pt x="13515" y="473"/>
                                    </a:lnTo>
                                    <a:lnTo>
                                      <a:pt x="14089" y="688"/>
                                    </a:lnTo>
                                    <a:lnTo>
                                      <a:pt x="14605" y="903"/>
                                    </a:lnTo>
                                    <a:lnTo>
                                      <a:pt x="14720" y="1118"/>
                                    </a:lnTo>
                                    <a:lnTo>
                                      <a:pt x="10072" y="8000"/>
                                    </a:lnTo>
                                    <a:lnTo>
                                      <a:pt x="10072" y="11527"/>
                                    </a:lnTo>
                                    <a:lnTo>
                                      <a:pt x="14634" y="4645"/>
                                    </a:lnTo>
                                    <a:lnTo>
                                      <a:pt x="15323" y="5075"/>
                                    </a:lnTo>
                                    <a:lnTo>
                                      <a:pt x="16126" y="5505"/>
                                    </a:lnTo>
                                    <a:lnTo>
                                      <a:pt x="17016" y="6022"/>
                                    </a:lnTo>
                                    <a:lnTo>
                                      <a:pt x="17733" y="6839"/>
                                    </a:lnTo>
                                    <a:lnTo>
                                      <a:pt x="18594" y="7613"/>
                                    </a:lnTo>
                                    <a:lnTo>
                                      <a:pt x="19110" y="8516"/>
                                    </a:lnTo>
                                    <a:lnTo>
                                      <a:pt x="19455" y="9419"/>
                                    </a:lnTo>
                                    <a:lnTo>
                                      <a:pt x="19857" y="10452"/>
                                    </a:lnTo>
                                    <a:lnTo>
                                      <a:pt x="19971" y="11828"/>
                                    </a:lnTo>
                                    <a:lnTo>
                                      <a:pt x="19914" y="12602"/>
                                    </a:lnTo>
                                    <a:lnTo>
                                      <a:pt x="19770" y="13462"/>
                                    </a:lnTo>
                                    <a:lnTo>
                                      <a:pt x="19455" y="14452"/>
                                    </a:lnTo>
                                    <a:lnTo>
                                      <a:pt x="18967" y="15441"/>
                                    </a:lnTo>
                                    <a:lnTo>
                                      <a:pt x="17791" y="16946"/>
                                    </a:lnTo>
                                    <a:lnTo>
                                      <a:pt x="16872" y="17892"/>
                                    </a:lnTo>
                                    <a:lnTo>
                                      <a:pt x="16011" y="18366"/>
                                    </a:lnTo>
                                    <a:lnTo>
                                      <a:pt x="15122" y="18882"/>
                                    </a:lnTo>
                                    <a:lnTo>
                                      <a:pt x="14204" y="19226"/>
                                    </a:lnTo>
                                    <a:lnTo>
                                      <a:pt x="13458" y="19484"/>
                                    </a:lnTo>
                                    <a:lnTo>
                                      <a:pt x="12224" y="19699"/>
                                    </a:lnTo>
                                    <a:lnTo>
                                      <a:pt x="10846" y="19957"/>
                                    </a:lnTo>
                                    <a:lnTo>
                                      <a:pt x="9412" y="19957"/>
                                    </a:lnTo>
                                    <a:lnTo>
                                      <a:pt x="7575" y="19699"/>
                                    </a:lnTo>
                                    <a:lnTo>
                                      <a:pt x="5739" y="19312"/>
                                    </a:lnTo>
                                    <a:lnTo>
                                      <a:pt x="4189" y="18452"/>
                                    </a:lnTo>
                                    <a:lnTo>
                                      <a:pt x="2898" y="17634"/>
                                    </a:lnTo>
                                    <a:lnTo>
                                      <a:pt x="1951" y="16774"/>
                                    </a:lnTo>
                                    <a:lnTo>
                                      <a:pt x="1263" y="15871"/>
                                    </a:lnTo>
                                    <a:lnTo>
                                      <a:pt x="775" y="15183"/>
                                    </a:lnTo>
                                    <a:lnTo>
                                      <a:pt x="316" y="14108"/>
                                    </a:lnTo>
                                    <a:lnTo>
                                      <a:pt x="86" y="13075"/>
                                    </a:lnTo>
                                    <a:lnTo>
                                      <a:pt x="0" y="12344"/>
                                    </a:lnTo>
                                    <a:lnTo>
                                      <a:pt x="0" y="11699"/>
                                    </a:lnTo>
                                    <a:lnTo>
                                      <a:pt x="86" y="10796"/>
                                    </a:lnTo>
                                    <a:lnTo>
                                      <a:pt x="488" y="9376"/>
                                    </a:lnTo>
                                    <a:lnTo>
                                      <a:pt x="918" y="8473"/>
                                    </a:lnTo>
                                    <a:lnTo>
                                      <a:pt x="1607" y="7570"/>
                                    </a:lnTo>
                                    <a:lnTo>
                                      <a:pt x="2267" y="6753"/>
                                    </a:lnTo>
                                    <a:lnTo>
                                      <a:pt x="3242" y="5978"/>
                                    </a:lnTo>
                                    <a:lnTo>
                                      <a:pt x="4419" y="5247"/>
                                    </a:lnTo>
                                    <a:lnTo>
                                      <a:pt x="5395" y="4774"/>
                                    </a:lnTo>
                                    <a:lnTo>
                                      <a:pt x="6428" y="4387"/>
                                    </a:lnTo>
                                    <a:lnTo>
                                      <a:pt x="7461" y="4086"/>
                                    </a:lnTo>
                                    <a:lnTo>
                                      <a:pt x="8580" y="3914"/>
                                    </a:lnTo>
                                    <a:lnTo>
                                      <a:pt x="9383" y="3914"/>
                                    </a:lnTo>
                                    <a:lnTo>
                                      <a:pt x="9813" y="3871"/>
                                    </a:lnTo>
                                    <a:close/>
                                  </a:path>
                                </a:pathLst>
                              </a:custGeom>
                              <a:solidFill>
                                <a:srgbClr val="000000"/>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7pt;margin-top:-9.4pt;width:34.8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" o:allowincell="f" path="m9813,3871l9871,43,10502,r718,43l11966,129r832,215l13515,473r574,215l14605,903r115,215l10072,8000r,3527l14634,4645r689,430l16126,5505r890,517l17733,6839r861,774l19110,8516r345,903l19857,10452r114,1376l19914,12602r-144,860l19455,14452r-488,989l17791,16946r-919,946l16011,18366r-889,516l14204,19226r-746,258l12224,19699r-1378,258l9412,19957,7575,19699,5739,19312,4189,18452,2898,17634r-947,-860l1263,15871,775,15183,316,14108,86,13075,,12344r,-645l86,10796,488,9376,918,8473r689,-903l2267,6753r975,-775l4419,5247r976,-473l6428,4387,7461,4086,8580,3914r803,l9813,3871xe" fillcolor="black" stroked="f" strokeweight="0">
                      <v:path arrowok="t" o:connecttype="custom" o:connectlocs="217159,57150;218443,635;232407,0;248296,635;264805,1905;283217,5079;299084,6983;311786,10157;323205,13332;325750,16506;222891,118110;222891,170182;323847,68578;339094,74926;356864,81274;376560,88907;392427,100969;411481,112396;422900,125728;430534,139060;439430,154311;441953,174626;440692,186053;437505,198750;430534,213366;419735,227967;393710,250187;373373,264153;354319,271151;334646,278769;314331,283848;297822,287657;270514,290831;240019,294640;208285,294640;167633,290831;127003,285118;92702,272421;64132,260344;43175,247647;27950,234315;17151,224158;6993,208287;1903,193036;0,182244;0,172721;1903,159389;10799,138425;20315,125093;35563,111762;50168,99700;71745,88258;97791,77465;119390,70482;142250,64769;165110,60325;189873,57785;207643,57785;217159,57150" o:connectangles="0,0,0,0,0,0,0,0,0,0,0,0,0,0,0,0,0,0,0,0,0,0,0,0,0,0,0,0,0,0,0,0,0,0,0,0,0,0,0,0,0,0,0,0,0,0,0,0,0,0,0,0,0,0,0,0,0,0,0"/>
                    </v:shape>
                  </w:pict>
                </mc:Fallback>
              </mc:AlternateContent>
            </w:r>
            <w:r w:rsidR="002C6A66" w:rsidRPr="009A1650">
              <w:rPr>
                <w:rFonts w:ascii="ITCOfficinaSans LT Bold" w:hAnsi="ITCOfficinaSans LT Bold"/>
                <w:b w:val="0"/>
              </w:rPr>
              <w:t>Skatteetaten</w:t>
            </w:r>
          </w:p>
        </w:tc>
        <w:tc>
          <w:tcPr>
            <w:tcW w:w="8363" w:type="dxa"/>
            <w:tcBorders>
              <w:top w:val="nil"/>
              <w:left w:val="nil"/>
              <w:bottom w:val="nil"/>
              <w:right w:val="nil"/>
            </w:tcBorders>
          </w:tcPr>
          <w:p w:rsidR="002C6A66" w:rsidRDefault="002C6A66">
            <w:pPr>
              <w:jc w:val="right"/>
              <w:rPr>
                <w:rFonts w:ascii="ITC Officina Sans Book" w:hAnsi="ITC Officina Sans Book"/>
                <w:b/>
                <w:sz w:val="28"/>
              </w:rPr>
            </w:pPr>
          </w:p>
          <w:p w:rsidR="00637AE6" w:rsidRDefault="00637AE6">
            <w:pPr>
              <w:jc w:val="right"/>
              <w:rPr>
                <w:rFonts w:ascii="ITC Officina Sans Book" w:hAnsi="ITC Officina Sans Book"/>
                <w:sz w:val="18"/>
              </w:rPr>
            </w:pPr>
            <w:r w:rsidRPr="00637AE6">
              <w:rPr>
                <w:rFonts w:ascii="ITCOfficinaSans LT Bold" w:hAnsi="ITCOfficinaSans LT Bold"/>
                <w:sz w:val="28"/>
              </w:rPr>
              <w:t xml:space="preserve">Rettledning til RF-1156 </w:t>
            </w:r>
            <w:r w:rsidR="00314EE2">
              <w:rPr>
                <w:rFonts w:ascii="ITCOfficinaSans LT Bold" w:hAnsi="ITCOfficinaSans LT Bold"/>
                <w:sz w:val="28"/>
              </w:rPr>
              <w:t>K</w:t>
            </w:r>
            <w:r w:rsidRPr="00637AE6">
              <w:rPr>
                <w:rFonts w:ascii="ITCOfficinaSans LT Bold" w:hAnsi="ITCOfficinaSans LT Bold"/>
                <w:sz w:val="28"/>
              </w:rPr>
              <w:t>orrigering av kommunefordelingen av eiendomsskattegrunnlaget - investeringer/påkostninger i særskilte driftsmidler i kraftanlegg i perioden 1. jan. 2012 til 31. des</w:t>
            </w:r>
            <w:r w:rsidR="00D9187D">
              <w:rPr>
                <w:rFonts w:ascii="ITCOfficinaSans LT Bold" w:hAnsi="ITCOfficinaSans LT Bold"/>
                <w:sz w:val="28"/>
              </w:rPr>
              <w:t>.</w:t>
            </w:r>
            <w:r w:rsidRPr="00637AE6">
              <w:rPr>
                <w:rFonts w:ascii="ITCOfficinaSans LT Bold" w:hAnsi="ITCOfficinaSans LT Bold"/>
                <w:sz w:val="28"/>
              </w:rPr>
              <w:t xml:space="preserve"> 2015</w:t>
            </w:r>
          </w:p>
          <w:p w:rsidR="002C6A66" w:rsidRPr="009A1650" w:rsidRDefault="002C6A66">
            <w:pPr>
              <w:jc w:val="right"/>
              <w:rPr>
                <w:rFonts w:ascii="ITC Officina Sans Book" w:hAnsi="ITC Officina Sans Book"/>
                <w:sz w:val="18"/>
              </w:rPr>
            </w:pPr>
            <w:r w:rsidRPr="009A1650">
              <w:rPr>
                <w:rFonts w:ascii="ITC Officina Sans Book" w:hAnsi="ITC Officina Sans Book"/>
                <w:sz w:val="18"/>
              </w:rPr>
              <w:t>Fastsatt av Skattedirektoratet</w:t>
            </w:r>
          </w:p>
        </w:tc>
      </w:tr>
      <w:tr w:rsidR="002C6A66" w:rsidTr="00CE4D8C">
        <w:trPr>
          <w:trHeight w:hRule="exact" w:val="198"/>
        </w:trPr>
        <w:tc>
          <w:tcPr>
            <w:tcW w:w="10419" w:type="dxa"/>
            <w:gridSpan w:val="2"/>
            <w:tcBorders>
              <w:top w:val="single" w:sz="24" w:space="0" w:color="auto"/>
              <w:left w:val="nil"/>
              <w:bottom w:val="nil"/>
              <w:right w:val="nil"/>
            </w:tcBorders>
          </w:tcPr>
          <w:p w:rsidR="002C6A66" w:rsidRDefault="002C6A66">
            <w:pPr>
              <w:ind w:left="510"/>
              <w:rPr>
                <w:rFonts w:ascii="Arial" w:hAnsi="Arial"/>
              </w:rPr>
            </w:pPr>
          </w:p>
        </w:tc>
      </w:tr>
    </w:tbl>
    <w:p w:rsidR="002C6A66" w:rsidRDefault="002C6A66">
      <w:pPr>
        <w:rPr>
          <w:sz w:val="18"/>
        </w:rPr>
        <w:sectPr w:rsidR="002C6A66" w:rsidSect="00FF4DD5">
          <w:footerReference w:type="even" r:id="rId8"/>
          <w:footerReference w:type="default" r:id="rId9"/>
          <w:footerReference w:type="first" r:id="rId10"/>
          <w:pgSz w:w="11906" w:h="16838"/>
          <w:pgMar w:top="567" w:right="709" w:bottom="567" w:left="992" w:header="708" w:footer="352" w:gutter="0"/>
          <w:cols w:space="708"/>
          <w:titlePg/>
        </w:sectPr>
      </w:pP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lastRenderedPageBreak/>
        <w:t xml:space="preserve">Eiendomsskattegrunnlaget skal fordeles mellom de aktuelle kommuner etter reglene i </w:t>
      </w:r>
      <w:proofErr w:type="spellStart"/>
      <w:r w:rsidRPr="00333D92">
        <w:rPr>
          <w:rFonts w:ascii="NewCenturySchlbk LT" w:hAnsi="NewCenturySchlbk LT"/>
          <w:sz w:val="18"/>
        </w:rPr>
        <w:t>eigedomsskattelova</w:t>
      </w:r>
      <w:proofErr w:type="spellEnd"/>
      <w:r w:rsidR="00CE4D8C">
        <w:rPr>
          <w:rFonts w:ascii="NewCenturySchlbk LT" w:hAnsi="NewCenturySchlbk LT"/>
          <w:sz w:val="18"/>
        </w:rPr>
        <w:t xml:space="preserve"> </w:t>
      </w:r>
      <w:r w:rsidRPr="00333D92">
        <w:rPr>
          <w:rFonts w:ascii="NewCenturySchlbk LT" w:hAnsi="NewCenturySchlbk LT"/>
          <w:sz w:val="18"/>
        </w:rPr>
        <w:t xml:space="preserve">§ 8B-2 til § 8 B-5. Bestemmelsene er inntatt i sin helhet nedenfor. </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t xml:space="preserve">For eiendomsskatteåret 2017/inntektsåret 2015 skal skjemaet fylles ut for nye kraftanlegg som ligger i flere kommuner og nye kraftanlegg som har andeler i </w:t>
      </w:r>
      <w:proofErr w:type="spellStart"/>
      <w:r w:rsidRPr="00333D92">
        <w:rPr>
          <w:rFonts w:ascii="NewCenturySchlbk LT" w:hAnsi="NewCenturySchlbk LT"/>
          <w:sz w:val="18"/>
        </w:rPr>
        <w:t>ovenforliggende</w:t>
      </w:r>
      <w:proofErr w:type="spellEnd"/>
      <w:r w:rsidRPr="00333D92">
        <w:rPr>
          <w:rFonts w:ascii="NewCenturySchlbk LT" w:hAnsi="NewCenturySchlbk LT"/>
          <w:sz w:val="18"/>
        </w:rPr>
        <w:t xml:space="preserve"> reguleringsanlegg i andre kommuner. I tillegg skal skjemaet fylles ut for påkostninger i eksisterende anlegg foretatt i perioden 1. januar 2012 til 31. desember 2015.</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b/>
          <w:sz w:val="20"/>
        </w:rPr>
        <w:t>Hva regnes som særskilt driftsmiddel i kraftanlegg?</w:t>
      </w:r>
      <w:r w:rsidRPr="00CE5D83">
        <w:rPr>
          <w:rFonts w:ascii="Times New Roman" w:hAnsi="Times New Roman"/>
          <w:b/>
          <w:bCs/>
          <w:sz w:val="24"/>
          <w:szCs w:val="24"/>
        </w:rPr>
        <w:br/>
      </w:r>
      <w:r w:rsidRPr="00333D92">
        <w:rPr>
          <w:rFonts w:ascii="NewCenturySchlbk LT" w:hAnsi="NewCenturySchlbk LT"/>
          <w:sz w:val="18"/>
        </w:rPr>
        <w:t>Som særskilte driftsmidler i kraftanlegg regnes driftsmidler som skal avskrives lineært i medhold av skatteloven § 18-6 (dammer, tunneler, rørgater (unntatt rør), kraftstasjoner (inkludert adkomsttunneler), maskinteknisk utrustning i kraftstasjon, generatorer, rør, foring i sjakt/tunnel, luker, rister, etc.), samt elektroteknisk utrustning i kraftanlegget som nevnt i skatteloven § 14-41 bokstav g. Adkomstanlegg som nevnt i</w:t>
      </w:r>
      <w:r w:rsidR="00CE4D8C">
        <w:rPr>
          <w:rFonts w:ascii="NewCenturySchlbk LT" w:hAnsi="NewCenturySchlbk LT"/>
          <w:sz w:val="18"/>
        </w:rPr>
        <w:t xml:space="preserve"> </w:t>
      </w:r>
      <w:r w:rsidRPr="00333D92">
        <w:rPr>
          <w:rFonts w:ascii="NewCenturySchlbk LT" w:hAnsi="NewCenturySchlbk LT"/>
          <w:sz w:val="18"/>
        </w:rPr>
        <w:t>§ 1-1 tredje ledd i forskrift av 20. januar 1997 nr. 79 skal ikke medtas i denne sammenheng (anleggsveier, kaianlegg, broer og taubaner mv).</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b/>
          <w:sz w:val="20"/>
        </w:rPr>
        <w:t>Hvilke investeringer skal regnes med ved korrigeringen?</w:t>
      </w:r>
      <w:r w:rsidRPr="00333D92">
        <w:rPr>
          <w:rFonts w:ascii="NewCenturySchlbk LT" w:hAnsi="NewCenturySchlbk LT"/>
          <w:b/>
          <w:sz w:val="20"/>
        </w:rPr>
        <w:br/>
      </w:r>
      <w:r w:rsidRPr="00333D92">
        <w:rPr>
          <w:rFonts w:ascii="NewCenturySchlbk LT" w:hAnsi="NewCenturySchlbk LT"/>
          <w:sz w:val="18"/>
        </w:rPr>
        <w:t xml:space="preserve">Investeringer i særskilte driftsmidler i kraftanlegg omfatter påkostninger og utvidelser av eksisterende kraftstasjoner og/eller påkostninger eller nyanlegg av reguleringsanlegg tilknyttet eksisterende kraftstasjon. Nytt reguleringsanlegg eller annet særskilt driftsmiddel tilknyttet eksisterende kraftstasjon regnes å tilhøre samme kraftanlegg, slik at kostprisen av investeringen skal regnes med ved korrigeringen. Grensen oppad må her trekkes mot bygging av ny kraftstasjon. </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t xml:space="preserve">Grensen nedad må trekkes mellom påkostninger og vedlikehold. Vedlikehold skal ikke medføre </w:t>
      </w:r>
      <w:r w:rsidRPr="00333D92">
        <w:rPr>
          <w:rFonts w:ascii="NewCenturySchlbk LT" w:hAnsi="NewCenturySchlbk LT"/>
          <w:sz w:val="18"/>
        </w:rPr>
        <w:lastRenderedPageBreak/>
        <w:t>korrigering. Grensen mellom påkostninger og vedlikehold må trekkes etter de vanlige reglene i skatteloven, slik at den skattemessige behandlingen kan legges til grunn i denne sammenheng. Om grensedragningen kan det sies at vedlikehold, herunder reparasjon, er arbeider som utføres for å bringe formuesgjenstanden tilbake i den stand den tidligere har vært som ny. Det vil derimot dreie seg om en påkostning dersom arbeidene bringer formuesgjenstanden til en bedre stand eller til en annen stand enn den tidligere har vært i, f.eks. tilbygg, moderniseringer eller rene endringer.</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t xml:space="preserve">Arbeider som utelukkende består i endring av en formuesgjenstand, er således ikke vedlikehold. Dette gjelder selv om endringen ikke innebærer noen standardforbedring eller verdiøkning. </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t>Arbeider som fører til forbedring av en gjenstand utover den stand den en gang har</w:t>
      </w:r>
      <w:r w:rsidR="00CE4D8C">
        <w:rPr>
          <w:rFonts w:ascii="NewCenturySchlbk LT" w:hAnsi="NewCenturySchlbk LT"/>
          <w:sz w:val="18"/>
        </w:rPr>
        <w:t xml:space="preserve"> </w:t>
      </w:r>
      <w:r w:rsidRPr="00333D92">
        <w:rPr>
          <w:rFonts w:ascii="NewCenturySchlbk LT" w:hAnsi="NewCenturySchlbk LT"/>
          <w:sz w:val="18"/>
        </w:rPr>
        <w:t>vært i, er ikke vedlikehold. Ved avgjørelsen av om det er skjedd en forbedring må det tas hensyn til utviklingen som har funnet sted i materialbruk mv. siden gjenstanden var ny. Foretas utskifting av eldre deler som trenger utskifting med nye som etter dagens nivå tilsvarer samme standard (lav, middels eller høy) som formuesgjenstanden har vært i tidligere, skal hele kostnaden regnes som vedlikehold.</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t>Det skal foretas en helhetsvurdering hvor en tar hensyn til eventuell standardforbedring</w:t>
      </w:r>
      <w:r w:rsidR="00CE4D8C">
        <w:rPr>
          <w:rFonts w:ascii="NewCenturySchlbk LT" w:hAnsi="NewCenturySchlbk LT"/>
          <w:sz w:val="18"/>
        </w:rPr>
        <w:t xml:space="preserve"> </w:t>
      </w:r>
      <w:r w:rsidRPr="00333D92">
        <w:rPr>
          <w:rFonts w:ascii="NewCenturySchlbk LT" w:hAnsi="NewCenturySchlbk LT"/>
          <w:sz w:val="18"/>
        </w:rPr>
        <w:t>av formuesgjenstanden som helhet.</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b/>
          <w:sz w:val="20"/>
        </w:rPr>
        <w:t>Nærmere om utfyllingen av skjemaet</w:t>
      </w:r>
      <w:r w:rsidRPr="00CE5D83">
        <w:rPr>
          <w:rFonts w:ascii="Times New Roman" w:hAnsi="Times New Roman"/>
          <w:sz w:val="24"/>
          <w:szCs w:val="24"/>
        </w:rPr>
        <w:t xml:space="preserve"> </w:t>
      </w:r>
      <w:r w:rsidRPr="00CE5D83">
        <w:rPr>
          <w:rFonts w:ascii="Times New Roman" w:hAnsi="Times New Roman"/>
          <w:sz w:val="24"/>
          <w:szCs w:val="24"/>
        </w:rPr>
        <w:br/>
      </w:r>
      <w:r w:rsidRPr="00333D92">
        <w:rPr>
          <w:rFonts w:ascii="NewCenturySchlbk LT" w:hAnsi="NewCenturySchlbk LT"/>
          <w:sz w:val="18"/>
        </w:rPr>
        <w:t>I kolonnen type driftsmiddel skal det oppgis hva slags driftsmiddel det er investert i / foretatt påkostning på. Legg ved kart dersom ett eller flere driftsmidler krysser kommunegrenser. Hvis det dreier seg om et nyervervet driftsmiddel som erstatter et driftsmiddel det er beregnet GAV for, skal selskapet oppgi den/de id(-ene) som ble brukt i GAV-beregningene i denne kolonnen.</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lastRenderedPageBreak/>
        <w:t xml:space="preserve">Korrigering av fordelingsnøkkelen skal ta utgangspunkt i kostpris på investeringen/påkostningen, se nærmere </w:t>
      </w:r>
      <w:proofErr w:type="spellStart"/>
      <w:r w:rsidRPr="00333D92">
        <w:rPr>
          <w:rFonts w:ascii="NewCenturySchlbk LT" w:hAnsi="NewCenturySchlbk LT"/>
          <w:sz w:val="18"/>
        </w:rPr>
        <w:t>eigedomsskattelova</w:t>
      </w:r>
      <w:proofErr w:type="spellEnd"/>
      <w:r w:rsidRPr="00333D92">
        <w:rPr>
          <w:rFonts w:ascii="NewCenturySchlbk LT" w:hAnsi="NewCenturySchlbk LT"/>
          <w:sz w:val="18"/>
        </w:rPr>
        <w:t xml:space="preserve"> § 8 A-1 andre ledd, femte ledd og § 8 A-2 andre ledd nedenfor. Det skal tas utgangspunkt i den verdi som legges til grunn etter de</w:t>
      </w:r>
      <w:r w:rsidR="00CE4D8C">
        <w:rPr>
          <w:rFonts w:ascii="NewCenturySchlbk LT" w:hAnsi="NewCenturySchlbk LT"/>
          <w:sz w:val="18"/>
        </w:rPr>
        <w:t xml:space="preserve"> </w:t>
      </w:r>
      <w:r w:rsidRPr="00333D92">
        <w:rPr>
          <w:rFonts w:ascii="NewCenturySchlbk LT" w:hAnsi="NewCenturySchlbk LT"/>
          <w:sz w:val="18"/>
        </w:rPr>
        <w:t xml:space="preserve">alminnelige skatterettslige regler. Kostprisen utgjør således kostnaden i fjerde kolonne i skjemaet. </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t xml:space="preserve">Det følger av § 6 i forskrift av 20. desember 2000 nr. 1393 til </w:t>
      </w:r>
      <w:proofErr w:type="spellStart"/>
      <w:r w:rsidRPr="00333D92">
        <w:rPr>
          <w:rFonts w:ascii="NewCenturySchlbk LT" w:hAnsi="NewCenturySchlbk LT"/>
          <w:sz w:val="18"/>
        </w:rPr>
        <w:t>eigedomsskattelova</w:t>
      </w:r>
      <w:proofErr w:type="spellEnd"/>
      <w:r w:rsidRPr="00333D92">
        <w:rPr>
          <w:rFonts w:ascii="NewCenturySchlbk LT" w:hAnsi="NewCenturySchlbk LT"/>
          <w:sz w:val="18"/>
        </w:rPr>
        <w:t xml:space="preserve"> at kostprisen for investeringer/påkostninger skal reguleres til samme kroneverdi som fordelingsnøkkelen bygget på. Ved reguleringen benyttes konsumprisindeksen til Statistisk sentralbyrå. Konsumprisindeksen for de aktuelle år er:</w:t>
      </w:r>
    </w:p>
    <w:p w:rsidR="00637AE6" w:rsidRDefault="00637AE6" w:rsidP="00333D92">
      <w:pPr>
        <w:autoSpaceDE w:val="0"/>
        <w:autoSpaceDN w:val="0"/>
        <w:adjustRightInd w:val="0"/>
        <w:spacing w:before="100"/>
        <w:rPr>
          <w:rFonts w:ascii="NewCenturySchlbk LT" w:hAnsi="NewCenturySchlbk LT"/>
          <w:sz w:val="18"/>
        </w:rPr>
      </w:pPr>
      <w:proofErr w:type="gramStart"/>
      <w:r w:rsidRPr="00333D92">
        <w:rPr>
          <w:rFonts w:ascii="NewCenturySchlbk LT" w:hAnsi="NewCenturySchlbk LT"/>
          <w:sz w:val="18"/>
        </w:rPr>
        <w:t xml:space="preserve">1997: </w:t>
      </w:r>
      <w:r w:rsidR="00333D92">
        <w:rPr>
          <w:rFonts w:ascii="NewCenturySchlbk LT" w:hAnsi="NewCenturySchlbk LT"/>
          <w:sz w:val="18"/>
        </w:rPr>
        <w:t xml:space="preserve">  </w:t>
      </w:r>
      <w:r w:rsidRPr="00333D92">
        <w:rPr>
          <w:rFonts w:ascii="NewCenturySchlbk LT" w:hAnsi="NewCenturySchlbk LT"/>
          <w:sz w:val="18"/>
        </w:rPr>
        <w:t>97</w:t>
      </w:r>
      <w:proofErr w:type="gramEnd"/>
      <w:r w:rsidRPr="00333D92">
        <w:rPr>
          <w:rFonts w:ascii="NewCenturySchlbk LT" w:hAnsi="NewCenturySchlbk LT"/>
          <w:sz w:val="18"/>
        </w:rPr>
        <w:t>,8</w:t>
      </w:r>
      <w:r w:rsidRPr="00333D92">
        <w:rPr>
          <w:rFonts w:ascii="NewCenturySchlbk LT" w:hAnsi="NewCenturySchlbk LT"/>
          <w:sz w:val="18"/>
        </w:rPr>
        <w:br/>
        <w:t>1998: 100</w:t>
      </w:r>
      <w:r w:rsidR="00333D92">
        <w:rPr>
          <w:rFonts w:ascii="NewCenturySchlbk LT" w:hAnsi="NewCenturySchlbk LT"/>
          <w:sz w:val="18"/>
        </w:rPr>
        <w:t>,0</w:t>
      </w:r>
      <w:r w:rsidRPr="00333D92">
        <w:rPr>
          <w:rFonts w:ascii="NewCenturySchlbk LT" w:hAnsi="NewCenturySchlbk LT"/>
          <w:sz w:val="18"/>
        </w:rPr>
        <w:br/>
        <w:t>1999: 102,3</w:t>
      </w:r>
      <w:r w:rsidRPr="00333D92">
        <w:rPr>
          <w:rFonts w:ascii="NewCenturySchlbk LT" w:hAnsi="NewCenturySchlbk LT"/>
          <w:sz w:val="18"/>
        </w:rPr>
        <w:br/>
        <w:t>2000: 105,5</w:t>
      </w:r>
      <w:r w:rsidRPr="00333D92">
        <w:rPr>
          <w:rFonts w:ascii="NewCenturySchlbk LT" w:hAnsi="NewCenturySchlbk LT"/>
          <w:sz w:val="18"/>
        </w:rPr>
        <w:br/>
        <w:t>2001: 108,7</w:t>
      </w:r>
      <w:r w:rsidRPr="00333D92">
        <w:rPr>
          <w:rFonts w:ascii="NewCenturySchlbk LT" w:hAnsi="NewCenturySchlbk LT"/>
          <w:sz w:val="18"/>
        </w:rPr>
        <w:br/>
        <w:t>2002: 110,1</w:t>
      </w:r>
      <w:r w:rsidRPr="00333D92">
        <w:rPr>
          <w:rFonts w:ascii="NewCenturySchlbk LT" w:hAnsi="NewCenturySchlbk LT"/>
          <w:sz w:val="18"/>
        </w:rPr>
        <w:br/>
        <w:t>2003: 112,8</w:t>
      </w:r>
      <w:r w:rsidRPr="00333D92">
        <w:rPr>
          <w:rFonts w:ascii="NewCenturySchlbk LT" w:hAnsi="NewCenturySchlbk LT"/>
          <w:sz w:val="18"/>
        </w:rPr>
        <w:br/>
        <w:t>2004: 113,3</w:t>
      </w:r>
      <w:r w:rsidRPr="00333D92">
        <w:rPr>
          <w:rFonts w:ascii="NewCenturySchlbk LT" w:hAnsi="NewCenturySchlbk LT"/>
          <w:sz w:val="18"/>
        </w:rPr>
        <w:br/>
        <w:t>2005: 115,1</w:t>
      </w:r>
      <w:r w:rsidRPr="00333D92">
        <w:rPr>
          <w:rFonts w:ascii="NewCenturySchlbk LT" w:hAnsi="NewCenturySchlbk LT"/>
          <w:sz w:val="18"/>
        </w:rPr>
        <w:br/>
        <w:t>2006: 117,7</w:t>
      </w:r>
      <w:r w:rsidRPr="00333D92">
        <w:rPr>
          <w:rFonts w:ascii="NewCenturySchlbk LT" w:hAnsi="NewCenturySchlbk LT"/>
          <w:sz w:val="18"/>
        </w:rPr>
        <w:br/>
        <w:t>2007: 118,6</w:t>
      </w:r>
    </w:p>
    <w:p w:rsidR="00637AE6" w:rsidRPr="00333D92" w:rsidRDefault="00637AE6" w:rsidP="00333D92">
      <w:pPr>
        <w:autoSpaceDE w:val="0"/>
        <w:autoSpaceDN w:val="0"/>
        <w:adjustRightInd w:val="0"/>
        <w:rPr>
          <w:rFonts w:ascii="NewCenturySchlbk LT" w:hAnsi="NewCenturySchlbk LT"/>
          <w:sz w:val="18"/>
        </w:rPr>
      </w:pPr>
      <w:r w:rsidRPr="00333D92">
        <w:rPr>
          <w:rFonts w:ascii="NewCenturySchlbk LT" w:hAnsi="NewCenturySchlbk LT"/>
          <w:sz w:val="18"/>
        </w:rPr>
        <w:t>2008: 123,1</w:t>
      </w:r>
    </w:p>
    <w:p w:rsidR="00637AE6" w:rsidRPr="00333D92" w:rsidRDefault="00637AE6" w:rsidP="00333D92">
      <w:pPr>
        <w:autoSpaceDE w:val="0"/>
        <w:autoSpaceDN w:val="0"/>
        <w:adjustRightInd w:val="0"/>
        <w:rPr>
          <w:rFonts w:ascii="NewCenturySchlbk LT" w:hAnsi="NewCenturySchlbk LT"/>
          <w:sz w:val="18"/>
        </w:rPr>
      </w:pPr>
      <w:r w:rsidRPr="00333D92">
        <w:rPr>
          <w:rFonts w:ascii="NewCenturySchlbk LT" w:hAnsi="NewCenturySchlbk LT"/>
          <w:sz w:val="18"/>
        </w:rPr>
        <w:t>2009: 125,7</w:t>
      </w:r>
    </w:p>
    <w:p w:rsidR="00637AE6" w:rsidRPr="00333D92" w:rsidRDefault="00637AE6" w:rsidP="00333D92">
      <w:pPr>
        <w:autoSpaceDE w:val="0"/>
        <w:autoSpaceDN w:val="0"/>
        <w:adjustRightInd w:val="0"/>
        <w:rPr>
          <w:rFonts w:ascii="NewCenturySchlbk LT" w:hAnsi="NewCenturySchlbk LT"/>
          <w:sz w:val="18"/>
        </w:rPr>
      </w:pPr>
      <w:r w:rsidRPr="00333D92">
        <w:rPr>
          <w:rFonts w:ascii="NewCenturySchlbk LT" w:hAnsi="NewCenturySchlbk LT"/>
          <w:sz w:val="18"/>
        </w:rPr>
        <w:t>2010: 128,8</w:t>
      </w:r>
    </w:p>
    <w:p w:rsidR="00637AE6" w:rsidRPr="00333D92" w:rsidRDefault="00637AE6" w:rsidP="00333D92">
      <w:pPr>
        <w:autoSpaceDE w:val="0"/>
        <w:autoSpaceDN w:val="0"/>
        <w:adjustRightInd w:val="0"/>
        <w:rPr>
          <w:rFonts w:ascii="NewCenturySchlbk LT" w:hAnsi="NewCenturySchlbk LT"/>
          <w:sz w:val="18"/>
        </w:rPr>
      </w:pPr>
      <w:r w:rsidRPr="00333D92">
        <w:rPr>
          <w:rFonts w:ascii="NewCenturySchlbk LT" w:hAnsi="NewCenturySchlbk LT"/>
          <w:sz w:val="18"/>
        </w:rPr>
        <w:t>2011: 130,4</w:t>
      </w:r>
    </w:p>
    <w:p w:rsidR="00637AE6" w:rsidRPr="00333D92" w:rsidRDefault="00637AE6" w:rsidP="00333D92">
      <w:pPr>
        <w:autoSpaceDE w:val="0"/>
        <w:autoSpaceDN w:val="0"/>
        <w:adjustRightInd w:val="0"/>
        <w:rPr>
          <w:rFonts w:ascii="NewCenturySchlbk LT" w:hAnsi="NewCenturySchlbk LT"/>
          <w:sz w:val="18"/>
        </w:rPr>
      </w:pPr>
      <w:r w:rsidRPr="00333D92">
        <w:rPr>
          <w:rFonts w:ascii="NewCenturySchlbk LT" w:hAnsi="NewCenturySchlbk LT"/>
          <w:sz w:val="18"/>
        </w:rPr>
        <w:t>2012: 131,4</w:t>
      </w:r>
    </w:p>
    <w:p w:rsidR="00637AE6" w:rsidRPr="00333D92" w:rsidRDefault="00637AE6" w:rsidP="00333D92">
      <w:pPr>
        <w:autoSpaceDE w:val="0"/>
        <w:autoSpaceDN w:val="0"/>
        <w:adjustRightInd w:val="0"/>
        <w:rPr>
          <w:rFonts w:ascii="NewCenturySchlbk LT" w:hAnsi="NewCenturySchlbk LT"/>
          <w:sz w:val="18"/>
        </w:rPr>
      </w:pPr>
      <w:r w:rsidRPr="00333D92">
        <w:rPr>
          <w:rFonts w:ascii="NewCenturySchlbk LT" w:hAnsi="NewCenturySchlbk LT"/>
          <w:sz w:val="18"/>
        </w:rPr>
        <w:t>2013:</w:t>
      </w:r>
      <w:r w:rsidR="00333D92">
        <w:rPr>
          <w:rFonts w:ascii="NewCenturySchlbk LT" w:hAnsi="NewCenturySchlbk LT"/>
          <w:sz w:val="18"/>
        </w:rPr>
        <w:t xml:space="preserve"> </w:t>
      </w:r>
      <w:r w:rsidRPr="00333D92">
        <w:rPr>
          <w:rFonts w:ascii="NewCenturySchlbk LT" w:hAnsi="NewCenturySchlbk LT"/>
          <w:sz w:val="18"/>
        </w:rPr>
        <w:t>134,2</w:t>
      </w:r>
    </w:p>
    <w:p w:rsidR="00637AE6" w:rsidRPr="00333D92" w:rsidRDefault="00637AE6" w:rsidP="00333D92">
      <w:pPr>
        <w:autoSpaceDE w:val="0"/>
        <w:autoSpaceDN w:val="0"/>
        <w:adjustRightInd w:val="0"/>
        <w:rPr>
          <w:rFonts w:ascii="NewCenturySchlbk LT" w:hAnsi="NewCenturySchlbk LT"/>
          <w:sz w:val="18"/>
        </w:rPr>
      </w:pPr>
      <w:r w:rsidRPr="00333D92">
        <w:rPr>
          <w:rFonts w:ascii="NewCenturySchlbk LT" w:hAnsi="NewCenturySchlbk LT"/>
          <w:sz w:val="18"/>
        </w:rPr>
        <w:t>2014: 136,9</w:t>
      </w:r>
    </w:p>
    <w:p w:rsidR="00637AE6" w:rsidRPr="00333D92" w:rsidRDefault="00637AE6" w:rsidP="00333D92">
      <w:pPr>
        <w:autoSpaceDE w:val="0"/>
        <w:autoSpaceDN w:val="0"/>
        <w:adjustRightInd w:val="0"/>
        <w:rPr>
          <w:rFonts w:ascii="NewCenturySchlbk LT" w:hAnsi="NewCenturySchlbk LT"/>
          <w:sz w:val="18"/>
        </w:rPr>
      </w:pPr>
      <w:r w:rsidRPr="00333D92">
        <w:rPr>
          <w:rFonts w:ascii="NewCenturySchlbk LT" w:hAnsi="NewCenturySchlbk LT"/>
          <w:sz w:val="18"/>
        </w:rPr>
        <w:t>2015: 139,8</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b/>
          <w:sz w:val="20"/>
        </w:rPr>
        <w:t>Skjemaet sendes:</w:t>
      </w:r>
      <w:r w:rsidRPr="00CE5D83">
        <w:rPr>
          <w:rFonts w:ascii="Times New Roman" w:hAnsi="Times New Roman"/>
          <w:sz w:val="24"/>
          <w:szCs w:val="24"/>
        </w:rPr>
        <w:br/>
      </w:r>
      <w:r w:rsidRPr="00333D92">
        <w:rPr>
          <w:rFonts w:ascii="NewCenturySchlbk LT" w:hAnsi="NewCenturySchlbk LT"/>
          <w:sz w:val="18"/>
        </w:rPr>
        <w:t>NVE</w:t>
      </w:r>
      <w:r w:rsidRPr="00333D92">
        <w:rPr>
          <w:rFonts w:ascii="NewCenturySchlbk LT" w:hAnsi="NewCenturySchlbk LT"/>
          <w:sz w:val="18"/>
        </w:rPr>
        <w:br/>
        <w:t>Postboks 5091 Majorstuen</w:t>
      </w:r>
      <w:r w:rsidRPr="00333D92">
        <w:rPr>
          <w:rFonts w:ascii="NewCenturySchlbk LT" w:hAnsi="NewCenturySchlbk LT"/>
          <w:sz w:val="18"/>
        </w:rPr>
        <w:br/>
        <w:t>0301 OSLO</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t xml:space="preserve">Att. </w:t>
      </w:r>
      <w:proofErr w:type="spellStart"/>
      <w:r w:rsidRPr="00333D92">
        <w:rPr>
          <w:rFonts w:ascii="NewCenturySchlbk LT" w:hAnsi="NewCenturySchlbk LT"/>
          <w:sz w:val="18"/>
        </w:rPr>
        <w:t>Seming</w:t>
      </w:r>
      <w:proofErr w:type="spellEnd"/>
      <w:r w:rsidRPr="00333D92">
        <w:rPr>
          <w:rFonts w:ascii="NewCenturySchlbk LT" w:hAnsi="NewCenturySchlbk LT"/>
          <w:sz w:val="18"/>
        </w:rPr>
        <w:t xml:space="preserve"> Skau</w:t>
      </w:r>
    </w:p>
    <w:p w:rsidR="00637AE6" w:rsidRPr="00333D92" w:rsidRDefault="00637AE6" w:rsidP="00637AE6">
      <w:pPr>
        <w:autoSpaceDE w:val="0"/>
        <w:autoSpaceDN w:val="0"/>
        <w:adjustRightInd w:val="0"/>
        <w:spacing w:before="100" w:after="100"/>
        <w:rPr>
          <w:rFonts w:ascii="NewCenturySchlbk LT" w:hAnsi="NewCenturySchlbk LT"/>
          <w:sz w:val="18"/>
        </w:rPr>
      </w:pPr>
      <w:r w:rsidRPr="00333D92">
        <w:rPr>
          <w:rFonts w:ascii="NewCenturySchlbk LT" w:hAnsi="NewCenturySchlbk LT"/>
          <w:sz w:val="18"/>
        </w:rPr>
        <w:t>ev.</w:t>
      </w:r>
    </w:p>
    <w:p w:rsidR="00637AE6" w:rsidRPr="00333D92" w:rsidRDefault="00DA2E5C" w:rsidP="00637AE6">
      <w:pPr>
        <w:autoSpaceDE w:val="0"/>
        <w:autoSpaceDN w:val="0"/>
        <w:adjustRightInd w:val="0"/>
        <w:spacing w:before="100" w:after="100"/>
        <w:rPr>
          <w:rFonts w:ascii="NewCenturySchlbk LT" w:hAnsi="NewCenturySchlbk LT"/>
          <w:sz w:val="18"/>
        </w:rPr>
      </w:pPr>
      <w:hyperlink r:id="rId11" w:tooltip="blocked::mailto:nve@nve.no" w:history="1">
        <w:r w:rsidR="00637AE6" w:rsidRPr="00333D92">
          <w:rPr>
            <w:rFonts w:ascii="NewCenturySchlbk LT" w:hAnsi="NewCenturySchlbk LT"/>
            <w:sz w:val="18"/>
          </w:rPr>
          <w:t>nve@nve.no</w:t>
        </w:r>
      </w:hyperlink>
    </w:p>
    <w:p w:rsidR="00333D92" w:rsidRDefault="00333D92">
      <w:pPr>
        <w:rPr>
          <w:rFonts w:ascii="NewCenturySchlbk LT" w:hAnsi="NewCenturySchlbk LT"/>
          <w:b/>
          <w:sz w:val="20"/>
        </w:rPr>
      </w:pPr>
      <w:r>
        <w:rPr>
          <w:rFonts w:ascii="NewCenturySchlbk LT" w:hAnsi="NewCenturySchlbk LT"/>
          <w:b/>
          <w:sz w:val="20"/>
        </w:rPr>
        <w:br w:type="page"/>
      </w:r>
    </w:p>
    <w:p w:rsidR="00637AE6" w:rsidRDefault="00637AE6" w:rsidP="00333D92">
      <w:pPr>
        <w:autoSpaceDE w:val="0"/>
        <w:autoSpaceDN w:val="0"/>
        <w:adjustRightInd w:val="0"/>
        <w:spacing w:before="100" w:after="100"/>
      </w:pPr>
      <w:r w:rsidRPr="00333D92">
        <w:rPr>
          <w:rFonts w:ascii="NewCenturySchlbk LT" w:hAnsi="NewCenturySchlbk LT"/>
          <w:b/>
          <w:sz w:val="20"/>
        </w:rPr>
        <w:lastRenderedPageBreak/>
        <w:t>Lovtekst</w:t>
      </w:r>
      <w:r w:rsidRPr="00CE5D83">
        <w:rPr>
          <w:rFonts w:ascii="Times New Roman" w:hAnsi="Times New Roman"/>
          <w:sz w:val="24"/>
          <w:szCs w:val="24"/>
        </w:rPr>
        <w:br/>
      </w:r>
      <w:r w:rsidRPr="00333D92">
        <w:rPr>
          <w:rFonts w:ascii="NewCenturySchlbk LT" w:hAnsi="NewCenturySchlbk LT"/>
          <w:sz w:val="18"/>
        </w:rPr>
        <w:t>Nedenfor er §</w:t>
      </w:r>
      <w:r w:rsidR="00CE4D8C">
        <w:rPr>
          <w:rFonts w:ascii="NewCenturySchlbk LT" w:hAnsi="NewCenturySchlbk LT"/>
          <w:sz w:val="18"/>
        </w:rPr>
        <w:t xml:space="preserve"> </w:t>
      </w:r>
      <w:r w:rsidRPr="00333D92">
        <w:rPr>
          <w:rFonts w:ascii="NewCenturySchlbk LT" w:hAnsi="NewCenturySchlbk LT"/>
          <w:sz w:val="18"/>
        </w:rPr>
        <w:t>8B2- §</w:t>
      </w:r>
      <w:r w:rsidR="00D9187D">
        <w:rPr>
          <w:rFonts w:ascii="NewCenturySchlbk LT" w:hAnsi="NewCenturySchlbk LT"/>
          <w:sz w:val="18"/>
        </w:rPr>
        <w:t xml:space="preserve"> </w:t>
      </w:r>
      <w:r w:rsidRPr="00333D92">
        <w:rPr>
          <w:rFonts w:ascii="NewCenturySchlbk LT" w:hAnsi="NewCenturySchlbk LT"/>
          <w:sz w:val="18"/>
        </w:rPr>
        <w:t xml:space="preserve">B-5 i </w:t>
      </w:r>
      <w:proofErr w:type="spellStart"/>
      <w:r w:rsidRPr="00333D92">
        <w:rPr>
          <w:rFonts w:ascii="NewCenturySchlbk LT" w:hAnsi="NewCenturySchlbk LT"/>
          <w:sz w:val="18"/>
        </w:rPr>
        <w:t>eigedomsskattelova</w:t>
      </w:r>
      <w:proofErr w:type="spellEnd"/>
      <w:r w:rsidRPr="00333D92">
        <w:rPr>
          <w:rFonts w:ascii="NewCenturySchlbk LT" w:hAnsi="NewCenturySchlbk LT"/>
          <w:sz w:val="18"/>
        </w:rPr>
        <w:t xml:space="preserve"> inntatt i sin helhet.</w:t>
      </w:r>
      <w:r w:rsidR="00333D92">
        <w:rPr>
          <w:rFonts w:ascii="NewCenturySchlbk LT" w:hAnsi="NewCenturySchlbk LT"/>
          <w:sz w:val="18"/>
        </w:rPr>
        <w:br/>
      </w:r>
    </w:p>
    <w:p w:rsidR="00637AE6" w:rsidRPr="00333D92" w:rsidRDefault="00637AE6" w:rsidP="00637AE6">
      <w:pPr>
        <w:autoSpaceDE w:val="0"/>
        <w:autoSpaceDN w:val="0"/>
        <w:adjustRightInd w:val="0"/>
        <w:spacing w:before="100" w:after="100"/>
        <w:rPr>
          <w:rFonts w:ascii="NewCenturySchlbk LT" w:hAnsi="NewCenturySchlbk LT"/>
          <w:b/>
          <w:bCs/>
          <w:sz w:val="18"/>
        </w:rPr>
      </w:pPr>
      <w:r w:rsidRPr="00333D92">
        <w:rPr>
          <w:rFonts w:ascii="NewCenturySchlbk LT" w:hAnsi="NewCenturySchlbk LT"/>
          <w:b/>
          <w:bCs/>
          <w:sz w:val="18"/>
        </w:rPr>
        <w:t xml:space="preserve">§ 8 B-2. Kommunefordeling av grunnlaget for </w:t>
      </w:r>
      <w:proofErr w:type="spellStart"/>
      <w:r w:rsidRPr="00333D92">
        <w:rPr>
          <w:rFonts w:ascii="NewCenturySchlbk LT" w:hAnsi="NewCenturySchlbk LT"/>
          <w:b/>
          <w:bCs/>
          <w:sz w:val="18"/>
        </w:rPr>
        <w:t>eigedomsskatt</w:t>
      </w:r>
      <w:proofErr w:type="spellEnd"/>
      <w:r w:rsidRPr="00333D92">
        <w:rPr>
          <w:rFonts w:ascii="NewCenturySchlbk LT" w:hAnsi="NewCenturySchlbk LT"/>
          <w:b/>
          <w:bCs/>
          <w:sz w:val="18"/>
        </w:rPr>
        <w:t xml:space="preserve"> for kraftanlegg sett i drift pr. 1. januar 2000 </w:t>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333D92">
        <w:rPr>
          <w:rFonts w:ascii="NewCenturySchlbk LT" w:hAnsi="NewCenturySchlbk LT"/>
          <w:sz w:val="18"/>
        </w:rPr>
        <w:t xml:space="preserve">(1) Kommunefordeling av grunnlaget for </w:t>
      </w:r>
      <w:proofErr w:type="spellStart"/>
      <w:r w:rsidRPr="00333D92">
        <w:rPr>
          <w:rFonts w:ascii="NewCenturySchlbk LT" w:hAnsi="NewCenturySchlbk LT"/>
          <w:sz w:val="18"/>
        </w:rPr>
        <w:t>eigedomsskatt</w:t>
      </w:r>
      <w:proofErr w:type="spellEnd"/>
      <w:r w:rsidRPr="00333D92">
        <w:rPr>
          <w:rFonts w:ascii="NewCenturySchlbk LT" w:hAnsi="NewCenturySchlbk LT"/>
          <w:sz w:val="18"/>
        </w:rPr>
        <w:t xml:space="preserve"> for kraftanlegg med kraftstasjon med installert effekt på eller over 1.000 kW sett i drift pr. 1. januar 1997, skal </w:t>
      </w:r>
      <w:proofErr w:type="spellStart"/>
      <w:r w:rsidRPr="00333D92">
        <w:rPr>
          <w:rFonts w:ascii="NewCenturySchlbk LT" w:hAnsi="NewCenturySchlbk LT"/>
          <w:sz w:val="18"/>
        </w:rPr>
        <w:t>byggje</w:t>
      </w:r>
      <w:proofErr w:type="spellEnd"/>
      <w:r w:rsidRPr="00333D92">
        <w:rPr>
          <w:rFonts w:ascii="NewCenturySchlbk LT" w:hAnsi="NewCenturySchlbk LT"/>
          <w:sz w:val="18"/>
        </w:rPr>
        <w:t xml:space="preserve"> på plasseringa pr. 1. januar 2000 av slike særskilte driftsmiddel i kraftanlegget som </w:t>
      </w:r>
      <w:proofErr w:type="spellStart"/>
      <w:r w:rsidRPr="00333D92">
        <w:rPr>
          <w:rFonts w:ascii="NewCenturySchlbk LT" w:hAnsi="NewCenturySchlbk LT"/>
          <w:sz w:val="18"/>
        </w:rPr>
        <w:t>nemnt</w:t>
      </w:r>
      <w:proofErr w:type="spellEnd"/>
      <w:r w:rsidRPr="00333D92">
        <w:rPr>
          <w:rFonts w:ascii="NewCenturySchlbk LT" w:hAnsi="NewCenturySchlbk LT"/>
          <w:sz w:val="18"/>
        </w:rPr>
        <w:t xml:space="preserve"> i § 1-1 andre leden i forskrift av 20. januar 1997 nr. 79 om fastsettelse av skattemessige inngangsverdier pr. 1. januar 1997 for særskilte driftsmidler i kraftforetak og det fastsette </w:t>
      </w:r>
      <w:proofErr w:type="spellStart"/>
      <w:r w:rsidRPr="00333D92">
        <w:rPr>
          <w:rFonts w:ascii="NewCenturySchlbk LT" w:hAnsi="NewCenturySchlbk LT"/>
          <w:sz w:val="18"/>
        </w:rPr>
        <w:t>gjenanskaffingsverdet</w:t>
      </w:r>
      <w:proofErr w:type="spellEnd"/>
      <w:r w:rsidRPr="00333D92">
        <w:rPr>
          <w:rFonts w:ascii="NewCenturySchlbk LT" w:hAnsi="NewCenturySchlbk LT"/>
          <w:sz w:val="18"/>
        </w:rPr>
        <w:t xml:space="preserve"> (GAV) for slike driftsmiddel etter </w:t>
      </w:r>
      <w:proofErr w:type="spellStart"/>
      <w:r w:rsidRPr="00333D92">
        <w:rPr>
          <w:rFonts w:ascii="NewCenturySchlbk LT" w:hAnsi="NewCenturySchlbk LT"/>
          <w:sz w:val="18"/>
        </w:rPr>
        <w:t>reglane</w:t>
      </w:r>
      <w:proofErr w:type="spellEnd"/>
      <w:r w:rsidRPr="00333D92">
        <w:rPr>
          <w:rFonts w:ascii="NewCenturySchlbk LT" w:hAnsi="NewCenturySchlbk LT"/>
          <w:sz w:val="18"/>
        </w:rPr>
        <w:t xml:space="preserve"> i kapittel 2 i same forskrift. </w:t>
      </w:r>
      <w:r w:rsidRPr="006511DA">
        <w:rPr>
          <w:rFonts w:ascii="NewCenturySchlbk LT" w:hAnsi="NewCenturySchlbk LT"/>
          <w:sz w:val="18"/>
          <w:lang w:val="nn-NO"/>
        </w:rPr>
        <w:t xml:space="preserve">Kommunefordelinga av skattegrunnlaget skal skje i same høve som GAV for dei særskilte driftsmiddel i kraftanlegget som ligg i den einskilde kommune, har til samla GAV for alle særskilte driftsmiddel i kraftanlegget. Fordelinga av GAV på dei særskilte driftsmiddel som ligg i kvar kommune, skal byggje på oppgåver frå Norges vassdrags- og energidirektorat og retningsliner fastsett av departementet. GAV for </w:t>
      </w:r>
      <w:proofErr w:type="spellStart"/>
      <w:r w:rsidRPr="006511DA">
        <w:rPr>
          <w:rFonts w:ascii="NewCenturySchlbk LT" w:hAnsi="NewCenturySchlbk LT"/>
          <w:sz w:val="18"/>
          <w:lang w:val="nn-NO"/>
        </w:rPr>
        <w:t>adkomstanlegg</w:t>
      </w:r>
      <w:proofErr w:type="spellEnd"/>
      <w:r w:rsidRPr="006511DA">
        <w:rPr>
          <w:rFonts w:ascii="NewCenturySchlbk LT" w:hAnsi="NewCenturySchlbk LT"/>
          <w:sz w:val="18"/>
          <w:lang w:val="nn-NO"/>
        </w:rPr>
        <w:t xml:space="preserve"> skal ikkje </w:t>
      </w:r>
      <w:proofErr w:type="spellStart"/>
      <w:r w:rsidRPr="006511DA">
        <w:rPr>
          <w:rFonts w:ascii="NewCenturySchlbk LT" w:hAnsi="NewCenturySchlbk LT"/>
          <w:sz w:val="18"/>
          <w:lang w:val="nn-NO"/>
        </w:rPr>
        <w:t>medreknast</w:t>
      </w:r>
      <w:proofErr w:type="spellEnd"/>
      <w:r w:rsidRPr="006511DA">
        <w:rPr>
          <w:rFonts w:ascii="NewCenturySchlbk LT" w:hAnsi="NewCenturySchlbk LT"/>
          <w:sz w:val="18"/>
          <w:lang w:val="nn-NO"/>
        </w:rPr>
        <w:t xml:space="preserve">. GAV for reguleringsanlegg med tilhøyrande driftsmiddel skal fordelast mellom alle kraftanlegg som har kraftstasjonar med installert effekt på eller over 1.000 kW som ligg nedanfor reguleringsanlegget, i høve til registrerte </w:t>
      </w:r>
      <w:proofErr w:type="spellStart"/>
      <w:r w:rsidRPr="006511DA">
        <w:rPr>
          <w:rFonts w:ascii="NewCenturySchlbk LT" w:hAnsi="NewCenturySchlbk LT"/>
          <w:sz w:val="18"/>
          <w:lang w:val="nn-NO"/>
        </w:rPr>
        <w:t>energiekvivalenter</w:t>
      </w:r>
      <w:proofErr w:type="spellEnd"/>
      <w:r w:rsidRPr="006511DA">
        <w:rPr>
          <w:rFonts w:ascii="NewCenturySchlbk LT" w:hAnsi="NewCenturySchlbk LT"/>
          <w:sz w:val="18"/>
          <w:lang w:val="nn-NO"/>
        </w:rPr>
        <w:t xml:space="preserve"> registrert hos Norges vassdrags- og energidirektorat for desse kraftstasjonane pr. 1. januar 2000.</w:t>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6511DA">
        <w:rPr>
          <w:rFonts w:ascii="NewCenturySchlbk LT" w:hAnsi="NewCenturySchlbk LT"/>
          <w:sz w:val="18"/>
          <w:lang w:val="nn-NO"/>
        </w:rPr>
        <w:t xml:space="preserve">(2) Kostpris for investeringar i særskilte driftsmiddel i kraftanlegg som nemnt i første leden og som vart ført i skatterekneskapet første gong for inntektsåret 1997 eller seinare år, skal nyttast som grunnlag for korrigering av den kommunefordeling av skattegrunnlaget som vert fastsett </w:t>
      </w:r>
      <w:r w:rsidRPr="006511DA">
        <w:rPr>
          <w:rFonts w:ascii="NewCenturySchlbk LT" w:hAnsi="NewCenturySchlbk LT"/>
          <w:sz w:val="18"/>
          <w:lang w:val="nn-NO"/>
        </w:rPr>
        <w:lastRenderedPageBreak/>
        <w:t>etter første leden. Slik korrigering vert første gong gjennomført med verknad for eigedomsskatteåret 2005.</w:t>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6511DA">
        <w:rPr>
          <w:rFonts w:ascii="NewCenturySchlbk LT" w:hAnsi="NewCenturySchlbk LT"/>
          <w:sz w:val="18"/>
          <w:lang w:val="nn-NO"/>
        </w:rPr>
        <w:t xml:space="preserve">(3) Ved kommunefordeling av eigedomsskattegrunnlaget for kraftanlegg med kraftstasjonar med installert effekt på eller over 1.000 kW sett i drift etter 1. januar 1997, med tilhøyrande særskilte driftsmiddel som ikkje vart omfatta av GAV fastsett pr. 1. januar 1997, vert </w:t>
      </w:r>
      <w:proofErr w:type="spellStart"/>
      <w:r w:rsidRPr="006511DA">
        <w:rPr>
          <w:rFonts w:ascii="NewCenturySchlbk LT" w:hAnsi="NewCenturySchlbk LT"/>
          <w:sz w:val="18"/>
          <w:lang w:val="nn-NO"/>
        </w:rPr>
        <w:t>gjenanskaffingsverdet</w:t>
      </w:r>
      <w:proofErr w:type="spellEnd"/>
      <w:r w:rsidRPr="006511DA">
        <w:rPr>
          <w:rFonts w:ascii="NewCenturySchlbk LT" w:hAnsi="NewCenturySchlbk LT"/>
          <w:sz w:val="18"/>
          <w:lang w:val="nn-NO"/>
        </w:rPr>
        <w:t xml:space="preserve"> for slike driftsmiddel pr. 1. januar 2000 fastsett av Norges vassdrags- og energidirektorat. Ved fastsetjing av </w:t>
      </w:r>
      <w:proofErr w:type="spellStart"/>
      <w:r w:rsidRPr="006511DA">
        <w:rPr>
          <w:rFonts w:ascii="NewCenturySchlbk LT" w:hAnsi="NewCenturySchlbk LT"/>
          <w:sz w:val="18"/>
          <w:lang w:val="nn-NO"/>
        </w:rPr>
        <w:t>gjenanskaffingsverdet</w:t>
      </w:r>
      <w:proofErr w:type="spellEnd"/>
      <w:r w:rsidRPr="006511DA">
        <w:rPr>
          <w:rFonts w:ascii="NewCenturySchlbk LT" w:hAnsi="NewCenturySchlbk LT"/>
          <w:sz w:val="18"/>
          <w:lang w:val="nn-NO"/>
        </w:rPr>
        <w:t xml:space="preserve"> for slike driftsmiddel gjeld reglane i forskrift av 20. januar 1997 nr. 79 om </w:t>
      </w:r>
      <w:proofErr w:type="spellStart"/>
      <w:r w:rsidRPr="006511DA">
        <w:rPr>
          <w:rFonts w:ascii="NewCenturySchlbk LT" w:hAnsi="NewCenturySchlbk LT"/>
          <w:sz w:val="18"/>
          <w:lang w:val="nn-NO"/>
        </w:rPr>
        <w:t>fastsettelse</w:t>
      </w:r>
      <w:proofErr w:type="spellEnd"/>
      <w:r w:rsidRPr="006511DA">
        <w:rPr>
          <w:rFonts w:ascii="NewCenturySchlbk LT" w:hAnsi="NewCenturySchlbk LT"/>
          <w:sz w:val="18"/>
          <w:lang w:val="nn-NO"/>
        </w:rPr>
        <w:t xml:space="preserve"> av skattemessige </w:t>
      </w:r>
      <w:proofErr w:type="spellStart"/>
      <w:r w:rsidRPr="006511DA">
        <w:rPr>
          <w:rFonts w:ascii="NewCenturySchlbk LT" w:hAnsi="NewCenturySchlbk LT"/>
          <w:sz w:val="18"/>
          <w:lang w:val="nn-NO"/>
        </w:rPr>
        <w:t>inngangsverdier</w:t>
      </w:r>
      <w:proofErr w:type="spellEnd"/>
      <w:r w:rsidRPr="006511DA">
        <w:rPr>
          <w:rFonts w:ascii="NewCenturySchlbk LT" w:hAnsi="NewCenturySchlbk LT"/>
          <w:sz w:val="18"/>
          <w:lang w:val="nn-NO"/>
        </w:rPr>
        <w:t xml:space="preserve"> pr. 1. januar 1997 for særskilte </w:t>
      </w:r>
      <w:proofErr w:type="spellStart"/>
      <w:r w:rsidRPr="006511DA">
        <w:rPr>
          <w:rFonts w:ascii="NewCenturySchlbk LT" w:hAnsi="NewCenturySchlbk LT"/>
          <w:sz w:val="18"/>
          <w:lang w:val="nn-NO"/>
        </w:rPr>
        <w:t>driftsmidler</w:t>
      </w:r>
      <w:proofErr w:type="spellEnd"/>
      <w:r w:rsidRPr="006511DA">
        <w:rPr>
          <w:rFonts w:ascii="NewCenturySchlbk LT" w:hAnsi="NewCenturySchlbk LT"/>
          <w:sz w:val="18"/>
          <w:lang w:val="nn-NO"/>
        </w:rPr>
        <w:t xml:space="preserve"> i </w:t>
      </w:r>
      <w:proofErr w:type="spellStart"/>
      <w:r w:rsidRPr="006511DA">
        <w:rPr>
          <w:rFonts w:ascii="NewCenturySchlbk LT" w:hAnsi="NewCenturySchlbk LT"/>
          <w:sz w:val="18"/>
          <w:lang w:val="nn-NO"/>
        </w:rPr>
        <w:t>kraftforetak</w:t>
      </w:r>
      <w:proofErr w:type="spellEnd"/>
      <w:r w:rsidRPr="006511DA">
        <w:rPr>
          <w:rFonts w:ascii="NewCenturySchlbk LT" w:hAnsi="NewCenturySchlbk LT"/>
          <w:sz w:val="18"/>
          <w:lang w:val="nn-NO"/>
        </w:rPr>
        <w:t>, tilsvarande. Reglane i første leden gjeld tilsvarande.</w:t>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6511DA">
        <w:rPr>
          <w:rFonts w:ascii="NewCenturySchlbk LT" w:hAnsi="NewCenturySchlbk LT"/>
          <w:sz w:val="18"/>
          <w:lang w:val="nn-NO"/>
        </w:rPr>
        <w:t>(4) Ved kommunefordeling av eigedomsskattegrunnlaget for kraftanlegg med kraftstasjonar med installert effekt under 1.000 kW sett i drift pr. 1. januar 2000, gjeld reglane i § 8 B-3første leden første og andre punktum tilsvarande.</w:t>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6511DA">
        <w:rPr>
          <w:rFonts w:ascii="NewCenturySchlbk LT" w:hAnsi="NewCenturySchlbk LT"/>
          <w:sz w:val="18"/>
          <w:lang w:val="nn-NO"/>
        </w:rPr>
        <w:t>(5) Ved kommunefordeling av eigedomsskattegrunnlaget for kraftanlegg som nemnt i tredje og fjerde leden, gjeld korrigeringsregelen i andre leden tilsvarande for investeringar som vart ført i skatterekneskapet første gong for inntektsåret 2000 eller seinare år.</w:t>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6511DA">
        <w:rPr>
          <w:rFonts w:ascii="NewCenturySchlbk LT" w:hAnsi="NewCenturySchlbk LT"/>
          <w:sz w:val="18"/>
          <w:lang w:val="nn-NO"/>
        </w:rPr>
        <w:t xml:space="preserve">(6) Som GAV etter denne paragraf skal reknast dei verdiar som vart fastsett av NVE og rapportert i 1997 og i 2001 etter § 2-3 i forskrift av 20. januar 1997 nr. 79 om </w:t>
      </w:r>
      <w:proofErr w:type="spellStart"/>
      <w:r w:rsidRPr="006511DA">
        <w:rPr>
          <w:rFonts w:ascii="NewCenturySchlbk LT" w:hAnsi="NewCenturySchlbk LT"/>
          <w:sz w:val="18"/>
          <w:lang w:val="nn-NO"/>
        </w:rPr>
        <w:t>fastsettelse</w:t>
      </w:r>
      <w:proofErr w:type="spellEnd"/>
      <w:r w:rsidRPr="006511DA">
        <w:rPr>
          <w:rFonts w:ascii="NewCenturySchlbk LT" w:hAnsi="NewCenturySchlbk LT"/>
          <w:sz w:val="18"/>
          <w:lang w:val="nn-NO"/>
        </w:rPr>
        <w:t xml:space="preserve"> av skattemessige </w:t>
      </w:r>
      <w:proofErr w:type="spellStart"/>
      <w:r w:rsidRPr="006511DA">
        <w:rPr>
          <w:rFonts w:ascii="NewCenturySchlbk LT" w:hAnsi="NewCenturySchlbk LT"/>
          <w:sz w:val="18"/>
          <w:lang w:val="nn-NO"/>
        </w:rPr>
        <w:t>inngangsverdier</w:t>
      </w:r>
      <w:proofErr w:type="spellEnd"/>
      <w:r w:rsidRPr="006511DA">
        <w:rPr>
          <w:rFonts w:ascii="NewCenturySchlbk LT" w:hAnsi="NewCenturySchlbk LT"/>
          <w:sz w:val="18"/>
          <w:lang w:val="nn-NO"/>
        </w:rPr>
        <w:t xml:space="preserve"> pr. 1. januar 1997 for særskilte </w:t>
      </w:r>
      <w:proofErr w:type="spellStart"/>
      <w:r w:rsidRPr="006511DA">
        <w:rPr>
          <w:rFonts w:ascii="NewCenturySchlbk LT" w:hAnsi="NewCenturySchlbk LT"/>
          <w:sz w:val="18"/>
          <w:lang w:val="nn-NO"/>
        </w:rPr>
        <w:t>driftsmidler</w:t>
      </w:r>
      <w:proofErr w:type="spellEnd"/>
      <w:r w:rsidRPr="006511DA">
        <w:rPr>
          <w:rFonts w:ascii="NewCenturySchlbk LT" w:hAnsi="NewCenturySchlbk LT"/>
          <w:sz w:val="18"/>
          <w:lang w:val="nn-NO"/>
        </w:rPr>
        <w:t xml:space="preserve"> i </w:t>
      </w:r>
      <w:proofErr w:type="spellStart"/>
      <w:r w:rsidRPr="006511DA">
        <w:rPr>
          <w:rFonts w:ascii="NewCenturySchlbk LT" w:hAnsi="NewCenturySchlbk LT"/>
          <w:sz w:val="18"/>
          <w:lang w:val="nn-NO"/>
        </w:rPr>
        <w:t>kraftforetak</w:t>
      </w:r>
      <w:proofErr w:type="spellEnd"/>
      <w:r w:rsidRPr="006511DA">
        <w:rPr>
          <w:rFonts w:ascii="NewCenturySchlbk LT" w:hAnsi="NewCenturySchlbk LT"/>
          <w:sz w:val="18"/>
          <w:lang w:val="nn-NO"/>
        </w:rPr>
        <w:t>, jf. § 2 nr. 2 i forskrift av 20. desember 2000 nr. 1343 om kommunefordeling av grunnlaget for eigedomsskatt for kraftanlegg.</w:t>
      </w:r>
    </w:p>
    <w:p w:rsidR="00637AE6" w:rsidRPr="006511DA" w:rsidRDefault="00637AE6" w:rsidP="00637AE6">
      <w:pPr>
        <w:autoSpaceDE w:val="0"/>
        <w:autoSpaceDN w:val="0"/>
        <w:adjustRightInd w:val="0"/>
        <w:spacing w:before="100" w:after="100"/>
        <w:rPr>
          <w:rFonts w:ascii="NewCenturySchlbk LT" w:hAnsi="NewCenturySchlbk LT"/>
          <w:b/>
          <w:bCs/>
          <w:sz w:val="18"/>
          <w:lang w:val="nn-NO"/>
        </w:rPr>
      </w:pPr>
      <w:r w:rsidRPr="006511DA">
        <w:rPr>
          <w:rFonts w:ascii="NewCenturySchlbk LT" w:hAnsi="NewCenturySchlbk LT"/>
          <w:b/>
          <w:bCs/>
          <w:sz w:val="18"/>
          <w:lang w:val="nn-NO"/>
        </w:rPr>
        <w:t xml:space="preserve">§ 8 B-3. Kommunefordeling av grunnlaget for eigedomsskatt for kraftanlegg sett i drift etter 1. januar 2000 </w:t>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333D92">
        <w:rPr>
          <w:szCs w:val="24"/>
          <w:lang w:val="nn-NO"/>
        </w:rPr>
        <w:t>(</w:t>
      </w:r>
      <w:r w:rsidRPr="006511DA">
        <w:rPr>
          <w:rFonts w:ascii="NewCenturySchlbk LT" w:hAnsi="NewCenturySchlbk LT"/>
          <w:sz w:val="18"/>
          <w:lang w:val="nn-NO"/>
        </w:rPr>
        <w:t xml:space="preserve">1) Kommunefordeling av grunnlaget for eigedomsskatt for kraftanlegg sett i drift etter 1. </w:t>
      </w:r>
      <w:r w:rsidRPr="006511DA">
        <w:rPr>
          <w:rFonts w:ascii="NewCenturySchlbk LT" w:hAnsi="NewCenturySchlbk LT"/>
          <w:sz w:val="18"/>
          <w:lang w:val="nn-NO"/>
        </w:rPr>
        <w:lastRenderedPageBreak/>
        <w:t>januar 2000, skal byggje på plasseringa av slike særskilte driftsmiddel i kraftanlegget som nemnt i § 8 B-2 første leden pr. 1. januar i likningsåret. Kommunefordelinga av skattegrunnlaget skal skje i same høve som kostpris for dei særskilte driftsmiddel i kraftanlegget som ligg i den einskilde kommune, har til samla kostpris for alle særskilte driftsmiddel i kraftanlegget. Har slike kraftanlegg kraftstasjonar med installert effekt over 1.000 kW som ligg nedanfor eldre reguleringsanlegg, skal det takast omsyn til reguleringsanlegget med tilhøyrande driftsmiddel med dei verdiar som nemnt i § 8 A-1 første og andre leden.</w:t>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6511DA">
        <w:rPr>
          <w:rFonts w:ascii="NewCenturySchlbk LT" w:hAnsi="NewCenturySchlbk LT"/>
          <w:sz w:val="18"/>
          <w:lang w:val="nn-NO"/>
        </w:rPr>
        <w:t>(2) Kostpris for investeringar i særskilte driftsmiddel som nemnt i § 8 B-2 første leden i seinare inntektsår enn det året då kraftanlegget vart sett i drift, skal nyttast som grunnlag for korrigering av den kommunefordeling som vert fastsett etter første leden.</w:t>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6511DA">
        <w:rPr>
          <w:rFonts w:ascii="NewCenturySchlbk LT" w:hAnsi="NewCenturySchlbk LT"/>
          <w:sz w:val="18"/>
          <w:lang w:val="nn-NO"/>
        </w:rPr>
        <w:t>(3) Reglane i første leden gjeld tilsvarande for fordeling av eigedomsskattegrunnlag fastsett etter skatteloven § 18-5 sjette leden.</w:t>
      </w:r>
    </w:p>
    <w:p w:rsidR="00D9187D" w:rsidRDefault="00637AE6" w:rsidP="00637AE6">
      <w:pPr>
        <w:autoSpaceDE w:val="0"/>
        <w:autoSpaceDN w:val="0"/>
        <w:adjustRightInd w:val="0"/>
        <w:spacing w:before="100" w:after="100"/>
        <w:rPr>
          <w:rFonts w:ascii="NewCenturySchlbk LT" w:hAnsi="NewCenturySchlbk LT"/>
          <w:sz w:val="18"/>
          <w:lang w:val="nn-NO"/>
        </w:rPr>
      </w:pPr>
      <w:r w:rsidRPr="006511DA">
        <w:rPr>
          <w:rFonts w:ascii="NewCenturySchlbk LT" w:hAnsi="NewCenturySchlbk LT"/>
          <w:b/>
          <w:bCs/>
          <w:sz w:val="18"/>
          <w:lang w:val="nn-NO"/>
        </w:rPr>
        <w:t>§ 8 B-4. Kommunefordeling av grunnlaget for eigedomsskatt som verdsetjingsreglar ved utskriving av eigedomsskatt</w:t>
      </w:r>
      <w:r w:rsidRPr="00333D92">
        <w:rPr>
          <w:szCs w:val="24"/>
          <w:lang w:val="nn-NO"/>
        </w:rPr>
        <w:t xml:space="preserve"> </w:t>
      </w:r>
      <w:r w:rsidRPr="00333D92">
        <w:rPr>
          <w:szCs w:val="24"/>
          <w:lang w:val="nn-NO"/>
        </w:rPr>
        <w:br/>
      </w:r>
    </w:p>
    <w:p w:rsidR="00637AE6" w:rsidRPr="006511DA" w:rsidRDefault="00637AE6" w:rsidP="00637AE6">
      <w:pPr>
        <w:autoSpaceDE w:val="0"/>
        <w:autoSpaceDN w:val="0"/>
        <w:adjustRightInd w:val="0"/>
        <w:spacing w:before="100" w:after="100"/>
        <w:rPr>
          <w:rFonts w:ascii="NewCenturySchlbk LT" w:hAnsi="NewCenturySchlbk LT"/>
          <w:sz w:val="18"/>
          <w:lang w:val="nn-NO"/>
        </w:rPr>
      </w:pPr>
      <w:r w:rsidRPr="006511DA">
        <w:rPr>
          <w:rFonts w:ascii="NewCenturySchlbk LT" w:hAnsi="NewCenturySchlbk LT"/>
          <w:sz w:val="18"/>
          <w:lang w:val="nn-NO"/>
        </w:rPr>
        <w:t xml:space="preserve">Kommunar som får tildelt ein </w:t>
      </w:r>
      <w:proofErr w:type="spellStart"/>
      <w:r w:rsidRPr="006511DA">
        <w:rPr>
          <w:rFonts w:ascii="NewCenturySchlbk LT" w:hAnsi="NewCenturySchlbk LT"/>
          <w:sz w:val="18"/>
          <w:lang w:val="nn-NO"/>
        </w:rPr>
        <w:t>andel</w:t>
      </w:r>
      <w:proofErr w:type="spellEnd"/>
      <w:r w:rsidRPr="006511DA">
        <w:rPr>
          <w:rFonts w:ascii="NewCenturySchlbk LT" w:hAnsi="NewCenturySchlbk LT"/>
          <w:sz w:val="18"/>
          <w:lang w:val="nn-NO"/>
        </w:rPr>
        <w:t xml:space="preserve"> av eigedomsskattegrunnlag for kraftanlegg etter reglane i §§ 8 B-2 og 8 B-3 skal leggje denne </w:t>
      </w:r>
      <w:proofErr w:type="spellStart"/>
      <w:r w:rsidRPr="006511DA">
        <w:rPr>
          <w:rFonts w:ascii="NewCenturySchlbk LT" w:hAnsi="NewCenturySchlbk LT"/>
          <w:sz w:val="18"/>
          <w:lang w:val="nn-NO"/>
        </w:rPr>
        <w:t>andel</w:t>
      </w:r>
      <w:proofErr w:type="spellEnd"/>
      <w:r w:rsidRPr="006511DA">
        <w:rPr>
          <w:rFonts w:ascii="NewCenturySchlbk LT" w:hAnsi="NewCenturySchlbk LT"/>
          <w:sz w:val="18"/>
          <w:lang w:val="nn-NO"/>
        </w:rPr>
        <w:t xml:space="preserve"> til grunn ved utskriving av eigedomsskatt på kraftanlegget.</w:t>
      </w:r>
    </w:p>
    <w:p w:rsidR="002C6A66" w:rsidRDefault="00637AE6" w:rsidP="00333D92">
      <w:pPr>
        <w:rPr>
          <w:rFonts w:ascii="NewCenturySchlbk LT" w:hAnsi="NewCenturySchlbk LT"/>
          <w:sz w:val="18"/>
          <w:lang w:val="nn-NO"/>
        </w:rPr>
      </w:pPr>
      <w:r w:rsidRPr="006511DA">
        <w:rPr>
          <w:rFonts w:ascii="NewCenturySchlbk LT" w:hAnsi="NewCenturySchlbk LT"/>
          <w:sz w:val="18"/>
          <w:lang w:val="nn-NO"/>
        </w:rPr>
        <w:t xml:space="preserve">§ 8 B-5 Gjennomføringsreglar </w:t>
      </w:r>
      <w:r w:rsidRPr="006511DA">
        <w:rPr>
          <w:rFonts w:ascii="NewCenturySchlbk LT" w:hAnsi="NewCenturySchlbk LT"/>
          <w:sz w:val="18"/>
          <w:lang w:val="nn-NO"/>
        </w:rPr>
        <w:br/>
        <w:t xml:space="preserve">Reglane i </w:t>
      </w:r>
      <w:proofErr w:type="spellStart"/>
      <w:r w:rsidRPr="006511DA">
        <w:rPr>
          <w:rFonts w:ascii="NewCenturySchlbk LT" w:hAnsi="NewCenturySchlbk LT"/>
          <w:sz w:val="18"/>
          <w:lang w:val="nn-NO"/>
        </w:rPr>
        <w:t>ligningsloven</w:t>
      </w:r>
      <w:proofErr w:type="spellEnd"/>
      <w:r w:rsidRPr="006511DA">
        <w:rPr>
          <w:rFonts w:ascii="NewCenturySchlbk LT" w:hAnsi="NewCenturySchlbk LT"/>
          <w:sz w:val="18"/>
          <w:lang w:val="nn-NO"/>
        </w:rPr>
        <w:t xml:space="preserve"> gjeld tilsvarande så langt dei passer ved fastsetjing av kommunefordeling av eigedomsskattegrunnlag etter reglane i denne lova. Nærmare reglar om utfylling og gjennomføring av denne paragraf vert fastsett av departementet i forskrift.</w:t>
      </w:r>
    </w:p>
    <w:p w:rsidR="00D9187D" w:rsidRDefault="00D9187D" w:rsidP="00333D92">
      <w:pPr>
        <w:rPr>
          <w:lang w:val="nn-NO"/>
        </w:rPr>
      </w:pPr>
    </w:p>
    <w:p w:rsidR="00D9187D" w:rsidRDefault="00D9187D" w:rsidP="00333D92">
      <w:pPr>
        <w:rPr>
          <w:lang w:val="nn-NO"/>
        </w:rPr>
      </w:pPr>
    </w:p>
    <w:p w:rsidR="00D9187D" w:rsidRDefault="00D9187D" w:rsidP="00333D92">
      <w:pPr>
        <w:rPr>
          <w:lang w:val="nn-NO"/>
        </w:rPr>
        <w:sectPr w:rsidR="00D9187D" w:rsidSect="00D9187D">
          <w:type w:val="continuous"/>
          <w:pgSz w:w="11906" w:h="16838"/>
          <w:pgMar w:top="1417" w:right="1133" w:bottom="567" w:left="993" w:header="1440" w:footer="352" w:gutter="0"/>
          <w:cols w:num="3" w:space="397"/>
          <w:noEndnote/>
        </w:sectPr>
      </w:pPr>
    </w:p>
    <w:p w:rsidR="00D9187D" w:rsidRPr="00333D92" w:rsidRDefault="00D9187D" w:rsidP="00333D92">
      <w:pPr>
        <w:rPr>
          <w:lang w:val="nn-NO"/>
        </w:rPr>
      </w:pPr>
    </w:p>
    <w:sectPr w:rsidR="00D9187D" w:rsidRPr="00333D92" w:rsidSect="00D9187D">
      <w:type w:val="continuous"/>
      <w:pgSz w:w="11906" w:h="16838"/>
      <w:pgMar w:top="1417" w:right="1133" w:bottom="567" w:left="993" w:header="1440" w:footer="352" w:gutter="0"/>
      <w:cols w:space="39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37" w:rsidRDefault="00F62137">
      <w:r>
        <w:separator/>
      </w:r>
    </w:p>
  </w:endnote>
  <w:endnote w:type="continuationSeparator" w:id="0">
    <w:p w:rsidR="00F62137" w:rsidRDefault="00F6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Officina Sans Book">
    <w:panose1 w:val="02000506040000020004"/>
    <w:charset w:val="00"/>
    <w:family w:val="auto"/>
    <w:pitch w:val="variable"/>
    <w:sig w:usb0="800000BF" w:usb1="4000204A" w:usb2="00000000" w:usb3="00000000" w:csb0="00000003" w:csb1="00000000"/>
  </w:font>
  <w:font w:name="Tahoma">
    <w:panose1 w:val="020B0604030504040204"/>
    <w:charset w:val="00"/>
    <w:family w:val="swiss"/>
    <w:pitch w:val="variable"/>
    <w:sig w:usb0="E1002EFF" w:usb1="C000605B" w:usb2="00000029" w:usb3="00000000" w:csb0="000101FF" w:csb1="00000000"/>
  </w:font>
  <w:font w:name="NewCenturySchlbk LT">
    <w:altName w:val="Bodoni MT"/>
    <w:panose1 w:val="02000603070000020003"/>
    <w:charset w:val="00"/>
    <w:family w:val="auto"/>
    <w:pitch w:val="variable"/>
    <w:sig w:usb0="800000A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TCOfficinaSans LT Bold">
    <w:altName w:val="Franklin Gothic Demi Cond"/>
    <w:panose1 w:val="0200080605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37" w:rsidRDefault="00F62137">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F62137" w:rsidRDefault="00F62137">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37" w:rsidRDefault="00F62137">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DA2E5C">
      <w:rPr>
        <w:rStyle w:val="Sidetall"/>
        <w:rFonts w:ascii="NewCenturySchlbk LT" w:hAnsi="NewCenturySchlbk LT"/>
        <w:noProof/>
        <w:sz w:val="16"/>
      </w:rPr>
      <w:t>2</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F62137">
      <w:trPr>
        <w:trHeight w:hRule="exact" w:val="200"/>
      </w:trPr>
      <w:tc>
        <w:tcPr>
          <w:tcW w:w="3402" w:type="dxa"/>
          <w:tcBorders>
            <w:top w:val="nil"/>
            <w:left w:val="nil"/>
            <w:bottom w:val="nil"/>
            <w:right w:val="nil"/>
          </w:tcBorders>
        </w:tcPr>
        <w:p w:rsidR="00F62137" w:rsidRDefault="00F62137">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F62137" w:rsidRDefault="00F6213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F62137" w:rsidRDefault="00F62137">
          <w:pPr>
            <w:numPr>
              <w:ilvl w:val="12"/>
              <w:numId w:val="0"/>
            </w:numPr>
            <w:spacing w:line="180" w:lineRule="exact"/>
            <w:jc w:val="right"/>
            <w:rPr>
              <w:rFonts w:ascii="Arial" w:hAnsi="Arial"/>
              <w:sz w:val="16"/>
            </w:rPr>
          </w:pPr>
        </w:p>
      </w:tc>
    </w:tr>
  </w:tbl>
  <w:p w:rsidR="00F62137" w:rsidRDefault="00F6213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F62137">
      <w:trPr>
        <w:trHeight w:hRule="exact" w:val="200"/>
      </w:trPr>
      <w:tc>
        <w:tcPr>
          <w:tcW w:w="3402" w:type="dxa"/>
          <w:tcBorders>
            <w:top w:val="nil"/>
            <w:left w:val="nil"/>
            <w:bottom w:val="nil"/>
            <w:right w:val="nil"/>
          </w:tcBorders>
        </w:tcPr>
        <w:p w:rsidR="00F62137" w:rsidRDefault="00F62137" w:rsidP="001A0730">
          <w:pPr>
            <w:numPr>
              <w:ilvl w:val="12"/>
              <w:numId w:val="0"/>
            </w:numPr>
            <w:spacing w:line="180" w:lineRule="exact"/>
            <w:ind w:right="360"/>
            <w:rPr>
              <w:rFonts w:ascii="NewCenturySchlbk LT" w:hAnsi="NewCenturySchlbk LT"/>
              <w:sz w:val="16"/>
            </w:rPr>
          </w:pPr>
          <w:r>
            <w:rPr>
              <w:rFonts w:ascii="NewCenturySchlbk LT" w:hAnsi="NewCenturySchlbk LT"/>
              <w:sz w:val="16"/>
            </w:rPr>
            <w:t>RF-1</w:t>
          </w:r>
          <w:r w:rsidR="001A0730">
            <w:rPr>
              <w:rFonts w:ascii="NewCenturySchlbk LT" w:hAnsi="NewCenturySchlbk LT"/>
              <w:sz w:val="16"/>
            </w:rPr>
            <w:t>343</w:t>
          </w:r>
          <w:r>
            <w:rPr>
              <w:rFonts w:ascii="NewCenturySchlbk LT" w:hAnsi="NewCenturySchlbk LT"/>
              <w:sz w:val="16"/>
            </w:rPr>
            <w:t>B</w:t>
          </w:r>
        </w:p>
      </w:tc>
      <w:tc>
        <w:tcPr>
          <w:tcW w:w="3402" w:type="dxa"/>
          <w:tcBorders>
            <w:top w:val="nil"/>
            <w:left w:val="nil"/>
            <w:bottom w:val="nil"/>
            <w:right w:val="nil"/>
          </w:tcBorders>
        </w:tcPr>
        <w:p w:rsidR="00F62137" w:rsidRDefault="00F62137">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F62137" w:rsidRDefault="00F62137">
          <w:pPr>
            <w:numPr>
              <w:ilvl w:val="12"/>
              <w:numId w:val="0"/>
            </w:numPr>
            <w:spacing w:line="180" w:lineRule="exact"/>
            <w:jc w:val="right"/>
            <w:rPr>
              <w:rFonts w:ascii="Arial" w:hAnsi="Arial"/>
              <w:sz w:val="16"/>
            </w:rPr>
          </w:pPr>
        </w:p>
      </w:tc>
    </w:tr>
  </w:tbl>
  <w:p w:rsidR="00F62137" w:rsidRDefault="00F6213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37" w:rsidRDefault="00F62137">
      <w:r>
        <w:separator/>
      </w:r>
    </w:p>
  </w:footnote>
  <w:footnote w:type="continuationSeparator" w:id="0">
    <w:p w:rsidR="00F62137" w:rsidRDefault="00F62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hilNs6mwlBTa8x2z76yPoqiB2U=" w:salt="qwr77b5p3mXidnTMVTFz1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AE"/>
    <w:rsid w:val="00003511"/>
    <w:rsid w:val="00012D9D"/>
    <w:rsid w:val="00023030"/>
    <w:rsid w:val="000231AA"/>
    <w:rsid w:val="00030B33"/>
    <w:rsid w:val="00033E98"/>
    <w:rsid w:val="00034E42"/>
    <w:rsid w:val="00035306"/>
    <w:rsid w:val="000379EE"/>
    <w:rsid w:val="00044CD9"/>
    <w:rsid w:val="0004591C"/>
    <w:rsid w:val="00051B05"/>
    <w:rsid w:val="0005570A"/>
    <w:rsid w:val="00057258"/>
    <w:rsid w:val="000623D0"/>
    <w:rsid w:val="000834AF"/>
    <w:rsid w:val="00085A5C"/>
    <w:rsid w:val="00086988"/>
    <w:rsid w:val="000A0E35"/>
    <w:rsid w:val="000A1512"/>
    <w:rsid w:val="000A497D"/>
    <w:rsid w:val="000A4E88"/>
    <w:rsid w:val="000C4A2F"/>
    <w:rsid w:val="000C74AB"/>
    <w:rsid w:val="000D04FB"/>
    <w:rsid w:val="000D1E41"/>
    <w:rsid w:val="000D48C3"/>
    <w:rsid w:val="000D5554"/>
    <w:rsid w:val="000E4E11"/>
    <w:rsid w:val="000F08BA"/>
    <w:rsid w:val="000F350C"/>
    <w:rsid w:val="000F37C0"/>
    <w:rsid w:val="000F3C39"/>
    <w:rsid w:val="000F46A9"/>
    <w:rsid w:val="000F5884"/>
    <w:rsid w:val="000F5DD4"/>
    <w:rsid w:val="000F604E"/>
    <w:rsid w:val="0010397E"/>
    <w:rsid w:val="00104E83"/>
    <w:rsid w:val="00105949"/>
    <w:rsid w:val="00117A6D"/>
    <w:rsid w:val="00124342"/>
    <w:rsid w:val="00130452"/>
    <w:rsid w:val="00140AC2"/>
    <w:rsid w:val="001502F6"/>
    <w:rsid w:val="00160632"/>
    <w:rsid w:val="00163DAE"/>
    <w:rsid w:val="00174207"/>
    <w:rsid w:val="001805FB"/>
    <w:rsid w:val="0019062C"/>
    <w:rsid w:val="001A0730"/>
    <w:rsid w:val="001B0092"/>
    <w:rsid w:val="001B04E2"/>
    <w:rsid w:val="001C5AB5"/>
    <w:rsid w:val="001C6FCC"/>
    <w:rsid w:val="001D5385"/>
    <w:rsid w:val="001D55F7"/>
    <w:rsid w:val="001D626A"/>
    <w:rsid w:val="001F21C4"/>
    <w:rsid w:val="00202351"/>
    <w:rsid w:val="00210853"/>
    <w:rsid w:val="0021677F"/>
    <w:rsid w:val="00220216"/>
    <w:rsid w:val="0023073B"/>
    <w:rsid w:val="00241697"/>
    <w:rsid w:val="00242EC2"/>
    <w:rsid w:val="00245FF1"/>
    <w:rsid w:val="002541A7"/>
    <w:rsid w:val="00262282"/>
    <w:rsid w:val="002733F2"/>
    <w:rsid w:val="00277D75"/>
    <w:rsid w:val="0028701A"/>
    <w:rsid w:val="002900F8"/>
    <w:rsid w:val="0029161A"/>
    <w:rsid w:val="00292B75"/>
    <w:rsid w:val="00293305"/>
    <w:rsid w:val="0029410C"/>
    <w:rsid w:val="00297A80"/>
    <w:rsid w:val="002A1668"/>
    <w:rsid w:val="002A6A73"/>
    <w:rsid w:val="002A7B25"/>
    <w:rsid w:val="002B1935"/>
    <w:rsid w:val="002B26AE"/>
    <w:rsid w:val="002B542B"/>
    <w:rsid w:val="002B7104"/>
    <w:rsid w:val="002B7FA3"/>
    <w:rsid w:val="002C52B8"/>
    <w:rsid w:val="002C5556"/>
    <w:rsid w:val="002C6A66"/>
    <w:rsid w:val="002D1D29"/>
    <w:rsid w:val="002F6448"/>
    <w:rsid w:val="00303574"/>
    <w:rsid w:val="00305E91"/>
    <w:rsid w:val="003115B5"/>
    <w:rsid w:val="00314EE2"/>
    <w:rsid w:val="003233DC"/>
    <w:rsid w:val="003300BC"/>
    <w:rsid w:val="003319B4"/>
    <w:rsid w:val="00333D92"/>
    <w:rsid w:val="00334094"/>
    <w:rsid w:val="00334A5E"/>
    <w:rsid w:val="00346610"/>
    <w:rsid w:val="00350F25"/>
    <w:rsid w:val="00352FC7"/>
    <w:rsid w:val="003654E2"/>
    <w:rsid w:val="003736E5"/>
    <w:rsid w:val="003800C9"/>
    <w:rsid w:val="003840F8"/>
    <w:rsid w:val="00385765"/>
    <w:rsid w:val="00386B39"/>
    <w:rsid w:val="00391813"/>
    <w:rsid w:val="003937CD"/>
    <w:rsid w:val="003937D4"/>
    <w:rsid w:val="00393D4F"/>
    <w:rsid w:val="003A6C8F"/>
    <w:rsid w:val="003A7AA0"/>
    <w:rsid w:val="003B3BD5"/>
    <w:rsid w:val="003B4E11"/>
    <w:rsid w:val="003B57F2"/>
    <w:rsid w:val="003B6DDA"/>
    <w:rsid w:val="003C093E"/>
    <w:rsid w:val="003C729F"/>
    <w:rsid w:val="003C7AB1"/>
    <w:rsid w:val="003D59B1"/>
    <w:rsid w:val="003D61DE"/>
    <w:rsid w:val="003D636A"/>
    <w:rsid w:val="003D76D8"/>
    <w:rsid w:val="003E74AA"/>
    <w:rsid w:val="003F0264"/>
    <w:rsid w:val="003F0E5E"/>
    <w:rsid w:val="003F0F00"/>
    <w:rsid w:val="003F1E51"/>
    <w:rsid w:val="003F2344"/>
    <w:rsid w:val="004022CF"/>
    <w:rsid w:val="004069EF"/>
    <w:rsid w:val="00407296"/>
    <w:rsid w:val="00411022"/>
    <w:rsid w:val="00416F83"/>
    <w:rsid w:val="0042027B"/>
    <w:rsid w:val="004363CB"/>
    <w:rsid w:val="0044441E"/>
    <w:rsid w:val="00445D9E"/>
    <w:rsid w:val="004510E7"/>
    <w:rsid w:val="00454DAE"/>
    <w:rsid w:val="0045641E"/>
    <w:rsid w:val="00464048"/>
    <w:rsid w:val="00465D59"/>
    <w:rsid w:val="00470915"/>
    <w:rsid w:val="00481002"/>
    <w:rsid w:val="00482EFD"/>
    <w:rsid w:val="00485016"/>
    <w:rsid w:val="00491076"/>
    <w:rsid w:val="00493EC6"/>
    <w:rsid w:val="00495D42"/>
    <w:rsid w:val="00497284"/>
    <w:rsid w:val="004A1C4E"/>
    <w:rsid w:val="004A3DE9"/>
    <w:rsid w:val="004A514D"/>
    <w:rsid w:val="004A65A0"/>
    <w:rsid w:val="004A73DE"/>
    <w:rsid w:val="004B142F"/>
    <w:rsid w:val="004B39AF"/>
    <w:rsid w:val="004C0F0A"/>
    <w:rsid w:val="004C17A2"/>
    <w:rsid w:val="004C217E"/>
    <w:rsid w:val="004C28D9"/>
    <w:rsid w:val="004F168B"/>
    <w:rsid w:val="005006B6"/>
    <w:rsid w:val="00504FC3"/>
    <w:rsid w:val="00510057"/>
    <w:rsid w:val="0051142B"/>
    <w:rsid w:val="005128B1"/>
    <w:rsid w:val="00512DBA"/>
    <w:rsid w:val="00513EBC"/>
    <w:rsid w:val="00517102"/>
    <w:rsid w:val="00517FFC"/>
    <w:rsid w:val="0052004E"/>
    <w:rsid w:val="005227D6"/>
    <w:rsid w:val="00527AE5"/>
    <w:rsid w:val="00527D0D"/>
    <w:rsid w:val="0053194D"/>
    <w:rsid w:val="00533771"/>
    <w:rsid w:val="005337AD"/>
    <w:rsid w:val="00540C3D"/>
    <w:rsid w:val="005423E3"/>
    <w:rsid w:val="0054597D"/>
    <w:rsid w:val="00562353"/>
    <w:rsid w:val="00575600"/>
    <w:rsid w:val="00576831"/>
    <w:rsid w:val="00576A3A"/>
    <w:rsid w:val="00582EA5"/>
    <w:rsid w:val="00584C8B"/>
    <w:rsid w:val="005853FA"/>
    <w:rsid w:val="005A42C8"/>
    <w:rsid w:val="005B0AD9"/>
    <w:rsid w:val="005B0E27"/>
    <w:rsid w:val="005B3E05"/>
    <w:rsid w:val="005B7271"/>
    <w:rsid w:val="005C1099"/>
    <w:rsid w:val="005C3C78"/>
    <w:rsid w:val="005C49C6"/>
    <w:rsid w:val="005C4CDF"/>
    <w:rsid w:val="005C5A45"/>
    <w:rsid w:val="005C5A68"/>
    <w:rsid w:val="005D177D"/>
    <w:rsid w:val="005D4BF7"/>
    <w:rsid w:val="005E1E2C"/>
    <w:rsid w:val="005E2532"/>
    <w:rsid w:val="005E320B"/>
    <w:rsid w:val="005E41E8"/>
    <w:rsid w:val="005E709F"/>
    <w:rsid w:val="005E7DAE"/>
    <w:rsid w:val="005F2215"/>
    <w:rsid w:val="006049DD"/>
    <w:rsid w:val="00605EDE"/>
    <w:rsid w:val="00606C43"/>
    <w:rsid w:val="00607AF3"/>
    <w:rsid w:val="00613797"/>
    <w:rsid w:val="00613A24"/>
    <w:rsid w:val="006248B2"/>
    <w:rsid w:val="006344B1"/>
    <w:rsid w:val="00636C22"/>
    <w:rsid w:val="00637AE6"/>
    <w:rsid w:val="006427F9"/>
    <w:rsid w:val="006511DA"/>
    <w:rsid w:val="00652D4B"/>
    <w:rsid w:val="00654DB1"/>
    <w:rsid w:val="0065508A"/>
    <w:rsid w:val="006564DF"/>
    <w:rsid w:val="00661C56"/>
    <w:rsid w:val="006671B1"/>
    <w:rsid w:val="0067045A"/>
    <w:rsid w:val="006708A5"/>
    <w:rsid w:val="006776E4"/>
    <w:rsid w:val="00681D84"/>
    <w:rsid w:val="00682C6D"/>
    <w:rsid w:val="006860C1"/>
    <w:rsid w:val="00691F11"/>
    <w:rsid w:val="00694E28"/>
    <w:rsid w:val="00696DFC"/>
    <w:rsid w:val="0069725C"/>
    <w:rsid w:val="006972BE"/>
    <w:rsid w:val="006A264E"/>
    <w:rsid w:val="006A4B99"/>
    <w:rsid w:val="006B0E42"/>
    <w:rsid w:val="006B59D5"/>
    <w:rsid w:val="006B7CC3"/>
    <w:rsid w:val="006C4D26"/>
    <w:rsid w:val="006C52F6"/>
    <w:rsid w:val="006D2097"/>
    <w:rsid w:val="006D4409"/>
    <w:rsid w:val="006D455C"/>
    <w:rsid w:val="006E4933"/>
    <w:rsid w:val="006E6437"/>
    <w:rsid w:val="006E69E5"/>
    <w:rsid w:val="007005CD"/>
    <w:rsid w:val="00702D31"/>
    <w:rsid w:val="00715628"/>
    <w:rsid w:val="007170C3"/>
    <w:rsid w:val="00721A63"/>
    <w:rsid w:val="00727EF5"/>
    <w:rsid w:val="00736641"/>
    <w:rsid w:val="0074153C"/>
    <w:rsid w:val="0074488C"/>
    <w:rsid w:val="00745DFE"/>
    <w:rsid w:val="00745EEF"/>
    <w:rsid w:val="007564D3"/>
    <w:rsid w:val="007572B0"/>
    <w:rsid w:val="00762C03"/>
    <w:rsid w:val="007633EA"/>
    <w:rsid w:val="00777CF2"/>
    <w:rsid w:val="007809A1"/>
    <w:rsid w:val="0078714D"/>
    <w:rsid w:val="00794586"/>
    <w:rsid w:val="0079620B"/>
    <w:rsid w:val="0079705F"/>
    <w:rsid w:val="007A464B"/>
    <w:rsid w:val="007B0F32"/>
    <w:rsid w:val="007C3E3A"/>
    <w:rsid w:val="007D2EE9"/>
    <w:rsid w:val="007D47D5"/>
    <w:rsid w:val="007D48D9"/>
    <w:rsid w:val="007E0830"/>
    <w:rsid w:val="007F211E"/>
    <w:rsid w:val="007F58C5"/>
    <w:rsid w:val="00801777"/>
    <w:rsid w:val="00802BB9"/>
    <w:rsid w:val="00804712"/>
    <w:rsid w:val="00804C28"/>
    <w:rsid w:val="00806F60"/>
    <w:rsid w:val="00807C4D"/>
    <w:rsid w:val="00811B9A"/>
    <w:rsid w:val="00813373"/>
    <w:rsid w:val="00814F5E"/>
    <w:rsid w:val="00820115"/>
    <w:rsid w:val="008244FE"/>
    <w:rsid w:val="00832AB7"/>
    <w:rsid w:val="008348FE"/>
    <w:rsid w:val="00843A3B"/>
    <w:rsid w:val="00851657"/>
    <w:rsid w:val="00854B8D"/>
    <w:rsid w:val="00855FD3"/>
    <w:rsid w:val="00860638"/>
    <w:rsid w:val="00866687"/>
    <w:rsid w:val="00876077"/>
    <w:rsid w:val="00883B9A"/>
    <w:rsid w:val="00886245"/>
    <w:rsid w:val="008943C4"/>
    <w:rsid w:val="00895E90"/>
    <w:rsid w:val="008A2B4B"/>
    <w:rsid w:val="008A7BF8"/>
    <w:rsid w:val="008B4F42"/>
    <w:rsid w:val="008C2539"/>
    <w:rsid w:val="008C4EF5"/>
    <w:rsid w:val="008C6E3B"/>
    <w:rsid w:val="008E0C65"/>
    <w:rsid w:val="008E52C6"/>
    <w:rsid w:val="00900E15"/>
    <w:rsid w:val="00902D8A"/>
    <w:rsid w:val="00904C57"/>
    <w:rsid w:val="00910C44"/>
    <w:rsid w:val="009114DC"/>
    <w:rsid w:val="009345EC"/>
    <w:rsid w:val="00945A21"/>
    <w:rsid w:val="00964CB1"/>
    <w:rsid w:val="00971A7E"/>
    <w:rsid w:val="0098123F"/>
    <w:rsid w:val="00983364"/>
    <w:rsid w:val="00992E6A"/>
    <w:rsid w:val="00996F9D"/>
    <w:rsid w:val="00997AD4"/>
    <w:rsid w:val="00997FEF"/>
    <w:rsid w:val="009A11FC"/>
    <w:rsid w:val="009A1650"/>
    <w:rsid w:val="009A425A"/>
    <w:rsid w:val="009A57A6"/>
    <w:rsid w:val="009B1C2B"/>
    <w:rsid w:val="009B4A47"/>
    <w:rsid w:val="009D7C4E"/>
    <w:rsid w:val="009E116C"/>
    <w:rsid w:val="009E2F6C"/>
    <w:rsid w:val="009E5306"/>
    <w:rsid w:val="009E71D9"/>
    <w:rsid w:val="009F10A6"/>
    <w:rsid w:val="009F219B"/>
    <w:rsid w:val="009F4046"/>
    <w:rsid w:val="009F7E52"/>
    <w:rsid w:val="00A03437"/>
    <w:rsid w:val="00A12A17"/>
    <w:rsid w:val="00A20E17"/>
    <w:rsid w:val="00A42855"/>
    <w:rsid w:val="00A472A9"/>
    <w:rsid w:val="00A51A49"/>
    <w:rsid w:val="00A53F74"/>
    <w:rsid w:val="00A62895"/>
    <w:rsid w:val="00A66405"/>
    <w:rsid w:val="00A74236"/>
    <w:rsid w:val="00A77774"/>
    <w:rsid w:val="00A80C3A"/>
    <w:rsid w:val="00A818AB"/>
    <w:rsid w:val="00A8351D"/>
    <w:rsid w:val="00A90091"/>
    <w:rsid w:val="00A91EBE"/>
    <w:rsid w:val="00AA0CAE"/>
    <w:rsid w:val="00AA1038"/>
    <w:rsid w:val="00AA2324"/>
    <w:rsid w:val="00AB3E59"/>
    <w:rsid w:val="00AB59CC"/>
    <w:rsid w:val="00AB640C"/>
    <w:rsid w:val="00AC6691"/>
    <w:rsid w:val="00AD5EC9"/>
    <w:rsid w:val="00AE107E"/>
    <w:rsid w:val="00AE3DC7"/>
    <w:rsid w:val="00AE4FD5"/>
    <w:rsid w:val="00AF084F"/>
    <w:rsid w:val="00AF5274"/>
    <w:rsid w:val="00AF5B8E"/>
    <w:rsid w:val="00B00609"/>
    <w:rsid w:val="00B0567D"/>
    <w:rsid w:val="00B10085"/>
    <w:rsid w:val="00B1300C"/>
    <w:rsid w:val="00B14852"/>
    <w:rsid w:val="00B20A00"/>
    <w:rsid w:val="00B23B64"/>
    <w:rsid w:val="00B25A10"/>
    <w:rsid w:val="00B2603D"/>
    <w:rsid w:val="00B270FD"/>
    <w:rsid w:val="00B355A2"/>
    <w:rsid w:val="00B54B27"/>
    <w:rsid w:val="00B54C91"/>
    <w:rsid w:val="00B556AB"/>
    <w:rsid w:val="00B6337A"/>
    <w:rsid w:val="00B705F9"/>
    <w:rsid w:val="00B70631"/>
    <w:rsid w:val="00B70C11"/>
    <w:rsid w:val="00B773B4"/>
    <w:rsid w:val="00B80998"/>
    <w:rsid w:val="00B814EA"/>
    <w:rsid w:val="00B86104"/>
    <w:rsid w:val="00B873B0"/>
    <w:rsid w:val="00B93EBF"/>
    <w:rsid w:val="00BA0C56"/>
    <w:rsid w:val="00BA10AF"/>
    <w:rsid w:val="00BA61AE"/>
    <w:rsid w:val="00BB39F2"/>
    <w:rsid w:val="00BC2703"/>
    <w:rsid w:val="00BC2844"/>
    <w:rsid w:val="00BC5CEF"/>
    <w:rsid w:val="00BC6EB4"/>
    <w:rsid w:val="00BD0D7A"/>
    <w:rsid w:val="00BE0831"/>
    <w:rsid w:val="00BE530C"/>
    <w:rsid w:val="00BE6050"/>
    <w:rsid w:val="00BE6EA1"/>
    <w:rsid w:val="00BE7DA0"/>
    <w:rsid w:val="00BF1397"/>
    <w:rsid w:val="00BF54D0"/>
    <w:rsid w:val="00BF5721"/>
    <w:rsid w:val="00BF6899"/>
    <w:rsid w:val="00BF72A4"/>
    <w:rsid w:val="00BF7DDF"/>
    <w:rsid w:val="00C00746"/>
    <w:rsid w:val="00C123EC"/>
    <w:rsid w:val="00C25056"/>
    <w:rsid w:val="00C27A0A"/>
    <w:rsid w:val="00C329BF"/>
    <w:rsid w:val="00C35813"/>
    <w:rsid w:val="00C4452F"/>
    <w:rsid w:val="00C5488B"/>
    <w:rsid w:val="00C70BD6"/>
    <w:rsid w:val="00C714F3"/>
    <w:rsid w:val="00C73E31"/>
    <w:rsid w:val="00C760C0"/>
    <w:rsid w:val="00C90A54"/>
    <w:rsid w:val="00C95D32"/>
    <w:rsid w:val="00CA2CC4"/>
    <w:rsid w:val="00CB0999"/>
    <w:rsid w:val="00CB5B99"/>
    <w:rsid w:val="00CC6CF4"/>
    <w:rsid w:val="00CD010C"/>
    <w:rsid w:val="00CE4D8C"/>
    <w:rsid w:val="00CE565F"/>
    <w:rsid w:val="00CE57ED"/>
    <w:rsid w:val="00CE7E6B"/>
    <w:rsid w:val="00CF02D1"/>
    <w:rsid w:val="00CF766B"/>
    <w:rsid w:val="00D01AE9"/>
    <w:rsid w:val="00D05710"/>
    <w:rsid w:val="00D15A38"/>
    <w:rsid w:val="00D15AAC"/>
    <w:rsid w:val="00D30355"/>
    <w:rsid w:val="00D343FF"/>
    <w:rsid w:val="00D3716D"/>
    <w:rsid w:val="00D45958"/>
    <w:rsid w:val="00D5618D"/>
    <w:rsid w:val="00D649E7"/>
    <w:rsid w:val="00D65127"/>
    <w:rsid w:val="00D65375"/>
    <w:rsid w:val="00D664A8"/>
    <w:rsid w:val="00D66F4B"/>
    <w:rsid w:val="00D71635"/>
    <w:rsid w:val="00D776B8"/>
    <w:rsid w:val="00D8297E"/>
    <w:rsid w:val="00D9187D"/>
    <w:rsid w:val="00DA2E5C"/>
    <w:rsid w:val="00DB5B5E"/>
    <w:rsid w:val="00DB7E74"/>
    <w:rsid w:val="00DC09DD"/>
    <w:rsid w:val="00DC76EC"/>
    <w:rsid w:val="00DD01B2"/>
    <w:rsid w:val="00DD2102"/>
    <w:rsid w:val="00DD3DC4"/>
    <w:rsid w:val="00DD4149"/>
    <w:rsid w:val="00DF08CE"/>
    <w:rsid w:val="00DF130A"/>
    <w:rsid w:val="00DF5752"/>
    <w:rsid w:val="00E01936"/>
    <w:rsid w:val="00E118EB"/>
    <w:rsid w:val="00E16A48"/>
    <w:rsid w:val="00E2519B"/>
    <w:rsid w:val="00E27D5E"/>
    <w:rsid w:val="00E32772"/>
    <w:rsid w:val="00E33513"/>
    <w:rsid w:val="00E45A09"/>
    <w:rsid w:val="00E513A1"/>
    <w:rsid w:val="00E51E4C"/>
    <w:rsid w:val="00E57BFD"/>
    <w:rsid w:val="00E61343"/>
    <w:rsid w:val="00E65A5A"/>
    <w:rsid w:val="00E72094"/>
    <w:rsid w:val="00E73F60"/>
    <w:rsid w:val="00E7557E"/>
    <w:rsid w:val="00E75F6B"/>
    <w:rsid w:val="00E91689"/>
    <w:rsid w:val="00E91D8A"/>
    <w:rsid w:val="00EA3187"/>
    <w:rsid w:val="00EA4AD9"/>
    <w:rsid w:val="00EA5603"/>
    <w:rsid w:val="00EB3E4B"/>
    <w:rsid w:val="00EC510C"/>
    <w:rsid w:val="00ED3692"/>
    <w:rsid w:val="00ED3E7D"/>
    <w:rsid w:val="00ED577E"/>
    <w:rsid w:val="00EE1709"/>
    <w:rsid w:val="00EE5F92"/>
    <w:rsid w:val="00F001BE"/>
    <w:rsid w:val="00F12EEB"/>
    <w:rsid w:val="00F130CA"/>
    <w:rsid w:val="00F20C13"/>
    <w:rsid w:val="00F21072"/>
    <w:rsid w:val="00F26764"/>
    <w:rsid w:val="00F305B4"/>
    <w:rsid w:val="00F33273"/>
    <w:rsid w:val="00F35A0C"/>
    <w:rsid w:val="00F40ECD"/>
    <w:rsid w:val="00F54105"/>
    <w:rsid w:val="00F563DD"/>
    <w:rsid w:val="00F615CD"/>
    <w:rsid w:val="00F62137"/>
    <w:rsid w:val="00F6216B"/>
    <w:rsid w:val="00F65AF9"/>
    <w:rsid w:val="00F878B5"/>
    <w:rsid w:val="00F9229E"/>
    <w:rsid w:val="00F94542"/>
    <w:rsid w:val="00F95001"/>
    <w:rsid w:val="00F951E9"/>
    <w:rsid w:val="00F953ED"/>
    <w:rsid w:val="00FA6BE2"/>
    <w:rsid w:val="00FB380D"/>
    <w:rsid w:val="00FB710A"/>
    <w:rsid w:val="00FC2069"/>
    <w:rsid w:val="00FC4E67"/>
    <w:rsid w:val="00FE1399"/>
    <w:rsid w:val="00FE2D9B"/>
    <w:rsid w:val="00FF3F80"/>
    <w:rsid w:val="00FF4D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CenturySchlbk" w:hAnsi="NewCenturySchlbk"/>
      <w:sz w:val="22"/>
    </w:rPr>
  </w:style>
  <w:style w:type="paragraph" w:styleId="Overskrift1">
    <w:name w:val="heading 1"/>
    <w:basedOn w:val="Normal"/>
    <w:next w:val="Normal"/>
    <w:qFormat/>
    <w:pPr>
      <w:keepNext/>
      <w:outlineLvl w:val="0"/>
    </w:pPr>
    <w:rPr>
      <w:b/>
      <w:sz w:val="18"/>
    </w:rPr>
  </w:style>
  <w:style w:type="paragraph" w:styleId="Overskrift2">
    <w:name w:val="heading 2"/>
    <w:basedOn w:val="Normal"/>
    <w:next w:val="Normal"/>
    <w:qFormat/>
    <w:pPr>
      <w:keepNext/>
      <w:numPr>
        <w:ilvl w:val="12"/>
      </w:numPr>
      <w:spacing w:line="180" w:lineRule="exact"/>
      <w:outlineLvl w:val="1"/>
    </w:pPr>
    <w:rPr>
      <w:rFonts w:ascii="Arial" w:hAnsi="Arial"/>
      <w:b/>
      <w:sz w:val="15"/>
    </w:rPr>
  </w:style>
  <w:style w:type="paragraph" w:styleId="Overskrift3">
    <w:name w:val="heading 3"/>
    <w:basedOn w:val="Normal"/>
    <w:next w:val="Normal"/>
    <w:qFormat/>
    <w:pPr>
      <w:keepNext/>
      <w:spacing w:before="360"/>
      <w:outlineLvl w:val="2"/>
    </w:pPr>
    <w:rPr>
      <w:rFonts w:ascii="ITC Officina Sans Book" w:hAnsi="ITC Officina Sans Book"/>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spacing w:line="180" w:lineRule="exact"/>
    </w:pPr>
    <w:rPr>
      <w:rFonts w:ascii="Arial" w:hAnsi="Arial"/>
      <w:sz w:val="15"/>
    </w:rPr>
  </w:style>
  <w:style w:type="paragraph" w:styleId="Brdtekst2">
    <w:name w:val="Body Text 2"/>
    <w:basedOn w:val="Normal"/>
    <w:rPr>
      <w:sz w:val="18"/>
    </w:rPr>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character" w:styleId="Sidetall">
    <w:name w:val="page number"/>
    <w:basedOn w:val="Standardskriftforavsnitt"/>
  </w:style>
  <w:style w:type="paragraph" w:styleId="Bobletekst">
    <w:name w:val="Balloon Text"/>
    <w:basedOn w:val="Normal"/>
    <w:semiHidden/>
    <w:rPr>
      <w:rFonts w:ascii="Tahoma" w:hAnsi="Tahoma" w:cs="NewCenturySchlbk"/>
      <w:sz w:val="16"/>
      <w:szCs w:val="16"/>
    </w:rPr>
  </w:style>
  <w:style w:type="paragraph" w:styleId="Brdtekst3">
    <w:name w:val="Body Text 3"/>
    <w:basedOn w:val="Normal"/>
    <w:rPr>
      <w:rFonts w:ascii="NewCenturySchlbk LT" w:hAnsi="NewCenturySchlbk LT"/>
      <w:b/>
      <w:sz w:val="16"/>
    </w:rPr>
  </w:style>
  <w:style w:type="character" w:styleId="Merknadsreferanse">
    <w:name w:val="annotation reference"/>
    <w:semiHidden/>
    <w:rsid w:val="00FE2D9B"/>
    <w:rPr>
      <w:sz w:val="16"/>
      <w:szCs w:val="16"/>
    </w:rPr>
  </w:style>
  <w:style w:type="paragraph" w:styleId="Merknadstekst">
    <w:name w:val="annotation text"/>
    <w:basedOn w:val="Normal"/>
    <w:semiHidden/>
    <w:rsid w:val="00FE2D9B"/>
    <w:rPr>
      <w:sz w:val="20"/>
    </w:rPr>
  </w:style>
  <w:style w:type="paragraph" w:styleId="Kommentaremne">
    <w:name w:val="annotation subject"/>
    <w:basedOn w:val="Merknadstekst"/>
    <w:next w:val="Merknadstekst"/>
    <w:semiHidden/>
    <w:rsid w:val="00FE2D9B"/>
    <w:rPr>
      <w:b/>
      <w:bCs/>
    </w:rPr>
  </w:style>
  <w:style w:type="table" w:styleId="Tabellrutenett">
    <w:name w:val="Table Grid"/>
    <w:basedOn w:val="Vanligtabell"/>
    <w:rsid w:val="0083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86245"/>
    <w:pPr>
      <w:ind w:left="720"/>
      <w:contextualSpacing/>
    </w:pPr>
  </w:style>
  <w:style w:type="character" w:styleId="Hyperkobling">
    <w:name w:val="Hyperlink"/>
    <w:rsid w:val="00637AE6"/>
    <w:rPr>
      <w:color w:val="0000FF"/>
      <w:u w:val="single"/>
    </w:rPr>
  </w:style>
  <w:style w:type="paragraph" w:customStyle="1" w:styleId="Preformatted">
    <w:name w:val="Preformatted"/>
    <w:basedOn w:val="Normal"/>
    <w:rsid w:val="00637A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CenturySchlbk" w:hAnsi="NewCenturySchlbk"/>
      <w:sz w:val="22"/>
    </w:rPr>
  </w:style>
  <w:style w:type="paragraph" w:styleId="Overskrift1">
    <w:name w:val="heading 1"/>
    <w:basedOn w:val="Normal"/>
    <w:next w:val="Normal"/>
    <w:qFormat/>
    <w:pPr>
      <w:keepNext/>
      <w:outlineLvl w:val="0"/>
    </w:pPr>
    <w:rPr>
      <w:b/>
      <w:sz w:val="18"/>
    </w:rPr>
  </w:style>
  <w:style w:type="paragraph" w:styleId="Overskrift2">
    <w:name w:val="heading 2"/>
    <w:basedOn w:val="Normal"/>
    <w:next w:val="Normal"/>
    <w:qFormat/>
    <w:pPr>
      <w:keepNext/>
      <w:numPr>
        <w:ilvl w:val="12"/>
      </w:numPr>
      <w:spacing w:line="180" w:lineRule="exact"/>
      <w:outlineLvl w:val="1"/>
    </w:pPr>
    <w:rPr>
      <w:rFonts w:ascii="Arial" w:hAnsi="Arial"/>
      <w:b/>
      <w:sz w:val="15"/>
    </w:rPr>
  </w:style>
  <w:style w:type="paragraph" w:styleId="Overskrift3">
    <w:name w:val="heading 3"/>
    <w:basedOn w:val="Normal"/>
    <w:next w:val="Normal"/>
    <w:qFormat/>
    <w:pPr>
      <w:keepNext/>
      <w:spacing w:before="360"/>
      <w:outlineLvl w:val="2"/>
    </w:pPr>
    <w:rPr>
      <w:rFonts w:ascii="ITC Officina Sans Book" w:hAnsi="ITC Officina Sans Book"/>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spacing w:line="180" w:lineRule="exact"/>
    </w:pPr>
    <w:rPr>
      <w:rFonts w:ascii="Arial" w:hAnsi="Arial"/>
      <w:sz w:val="15"/>
    </w:rPr>
  </w:style>
  <w:style w:type="paragraph" w:styleId="Brdtekst2">
    <w:name w:val="Body Text 2"/>
    <w:basedOn w:val="Normal"/>
    <w:rPr>
      <w:sz w:val="18"/>
    </w:rPr>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character" w:styleId="Sidetall">
    <w:name w:val="page number"/>
    <w:basedOn w:val="Standardskriftforavsnitt"/>
  </w:style>
  <w:style w:type="paragraph" w:styleId="Bobletekst">
    <w:name w:val="Balloon Text"/>
    <w:basedOn w:val="Normal"/>
    <w:semiHidden/>
    <w:rPr>
      <w:rFonts w:ascii="Tahoma" w:hAnsi="Tahoma" w:cs="NewCenturySchlbk"/>
      <w:sz w:val="16"/>
      <w:szCs w:val="16"/>
    </w:rPr>
  </w:style>
  <w:style w:type="paragraph" w:styleId="Brdtekst3">
    <w:name w:val="Body Text 3"/>
    <w:basedOn w:val="Normal"/>
    <w:rPr>
      <w:rFonts w:ascii="NewCenturySchlbk LT" w:hAnsi="NewCenturySchlbk LT"/>
      <w:b/>
      <w:sz w:val="16"/>
    </w:rPr>
  </w:style>
  <w:style w:type="character" w:styleId="Merknadsreferanse">
    <w:name w:val="annotation reference"/>
    <w:semiHidden/>
    <w:rsid w:val="00FE2D9B"/>
    <w:rPr>
      <w:sz w:val="16"/>
      <w:szCs w:val="16"/>
    </w:rPr>
  </w:style>
  <w:style w:type="paragraph" w:styleId="Merknadstekst">
    <w:name w:val="annotation text"/>
    <w:basedOn w:val="Normal"/>
    <w:semiHidden/>
    <w:rsid w:val="00FE2D9B"/>
    <w:rPr>
      <w:sz w:val="20"/>
    </w:rPr>
  </w:style>
  <w:style w:type="paragraph" w:styleId="Kommentaremne">
    <w:name w:val="annotation subject"/>
    <w:basedOn w:val="Merknadstekst"/>
    <w:next w:val="Merknadstekst"/>
    <w:semiHidden/>
    <w:rsid w:val="00FE2D9B"/>
    <w:rPr>
      <w:b/>
      <w:bCs/>
    </w:rPr>
  </w:style>
  <w:style w:type="table" w:styleId="Tabellrutenett">
    <w:name w:val="Table Grid"/>
    <w:basedOn w:val="Vanligtabell"/>
    <w:rsid w:val="0083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86245"/>
    <w:pPr>
      <w:ind w:left="720"/>
      <w:contextualSpacing/>
    </w:pPr>
  </w:style>
  <w:style w:type="character" w:styleId="Hyperkobling">
    <w:name w:val="Hyperlink"/>
    <w:rsid w:val="00637AE6"/>
    <w:rPr>
      <w:color w:val="0000FF"/>
      <w:u w:val="single"/>
    </w:rPr>
  </w:style>
  <w:style w:type="paragraph" w:customStyle="1" w:styleId="Preformatted">
    <w:name w:val="Preformatted"/>
    <w:basedOn w:val="Normal"/>
    <w:rsid w:val="00637A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ve@nve.no"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1448</Words>
  <Characters>8703</Characters>
  <Application>Microsoft Office Word</Application>
  <DocSecurity>8</DocSecurity>
  <Lines>362</Lines>
  <Paragraphs>49</Paragraphs>
  <ScaleCrop>false</ScaleCrop>
  <HeadingPairs>
    <vt:vector size="2" baseType="variant">
      <vt:variant>
        <vt:lpstr>Tittel</vt:lpstr>
      </vt:variant>
      <vt:variant>
        <vt:i4>1</vt:i4>
      </vt:variant>
    </vt:vector>
  </HeadingPairs>
  <TitlesOfParts>
    <vt:vector size="1" baseType="lpstr">
      <vt:lpstr>Skatteetaten</vt:lpstr>
    </vt:vector>
  </TitlesOfParts>
  <Company>Skatteetaten</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Skatteetaten</dc:title>
  <dc:creator>x0xkar</dc:creator>
  <cp:lastModifiedBy>Ødegård, Geir</cp:lastModifiedBy>
  <cp:revision>4</cp:revision>
  <cp:lastPrinted>2011-07-14T12:17:00Z</cp:lastPrinted>
  <dcterms:created xsi:type="dcterms:W3CDTF">2016-03-10T08:36:00Z</dcterms:created>
  <dcterms:modified xsi:type="dcterms:W3CDTF">2016-03-10T08:57:00Z</dcterms:modified>
</cp:coreProperties>
</file>